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D2A" w:rsidRPr="00C36FF7" w:rsidRDefault="00ED1D2A" w:rsidP="00ED1D2A">
      <w:pPr>
        <w:jc w:val="center"/>
        <w:rPr>
          <w:rFonts w:ascii="Times New Roman" w:hAnsi="Times New Roman" w:cs="Times New Roman"/>
          <w:b/>
          <w:lang w:val="en-GB"/>
        </w:rPr>
      </w:pPr>
    </w:p>
    <w:p w:rsidR="00ED1D2A" w:rsidRPr="00C36FF7" w:rsidRDefault="00ED1D2A" w:rsidP="00ED1D2A">
      <w:pPr>
        <w:jc w:val="center"/>
        <w:rPr>
          <w:rStyle w:val="Gl"/>
          <w:rFonts w:ascii="Times New Roman" w:hAnsi="Times New Roman" w:cs="Times New Roman"/>
          <w:sz w:val="28"/>
          <w:szCs w:val="28"/>
          <w:lang w:val="en-GB"/>
        </w:rPr>
      </w:pPr>
      <w:r w:rsidRPr="00C36FF7">
        <w:rPr>
          <w:rFonts w:ascii="Times New Roman" w:hAnsi="Times New Roman" w:cs="Times New Roman"/>
          <w:b/>
          <w:sz w:val="28"/>
          <w:szCs w:val="28"/>
          <w:lang w:val="en-GB"/>
        </w:rPr>
        <w:t>SUPPLY CONTRACT NOTICE</w:t>
      </w:r>
    </w:p>
    <w:p w:rsidR="00ED1D2A" w:rsidRPr="00C36FF7" w:rsidRDefault="00ED1D2A" w:rsidP="00ED1D2A">
      <w:pPr>
        <w:jc w:val="center"/>
        <w:rPr>
          <w:rFonts w:ascii="Times New Roman" w:hAnsi="Times New Roman" w:cs="Times New Roman"/>
          <w:b/>
          <w:bCs/>
          <w:sz w:val="28"/>
          <w:szCs w:val="28"/>
          <w:lang w:val="en-GB"/>
        </w:rPr>
      </w:pPr>
      <w:r w:rsidRPr="00C36FF7">
        <w:rPr>
          <w:rStyle w:val="Gl"/>
          <w:rFonts w:ascii="Times New Roman" w:hAnsi="Times New Roman" w:cs="Times New Roman"/>
          <w:bCs/>
          <w:sz w:val="28"/>
          <w:szCs w:val="28"/>
          <w:lang w:val="en-GB"/>
        </w:rPr>
        <w:t>Contract title;</w:t>
      </w:r>
      <w:r w:rsidRPr="00C36FF7">
        <w:rPr>
          <w:rFonts w:ascii="Times New Roman" w:hAnsi="Times New Roman" w:cs="Times New Roman"/>
          <w:b/>
          <w:bCs/>
          <w:sz w:val="28"/>
          <w:szCs w:val="28"/>
        </w:rPr>
        <w:t xml:space="preserve"> Electronic </w:t>
      </w:r>
      <w:proofErr w:type="spellStart"/>
      <w:r w:rsidRPr="00C36FF7">
        <w:rPr>
          <w:rFonts w:ascii="Times New Roman" w:hAnsi="Times New Roman" w:cs="Times New Roman"/>
          <w:b/>
          <w:bCs/>
          <w:sz w:val="28"/>
          <w:szCs w:val="28"/>
        </w:rPr>
        <w:t>Supplies</w:t>
      </w:r>
      <w:proofErr w:type="spellEnd"/>
      <w:r w:rsidRPr="00C36FF7">
        <w:rPr>
          <w:rStyle w:val="Gl"/>
          <w:rFonts w:ascii="Times New Roman" w:hAnsi="Times New Roman" w:cs="Times New Roman"/>
          <w:bCs/>
          <w:sz w:val="28"/>
          <w:szCs w:val="28"/>
          <w:lang w:val="en-GB"/>
        </w:rPr>
        <w:t xml:space="preserve"> </w:t>
      </w:r>
      <w:r w:rsidRPr="00C36FF7">
        <w:rPr>
          <w:rStyle w:val="Gl"/>
          <w:rFonts w:ascii="Times New Roman" w:hAnsi="Times New Roman" w:cs="Times New Roman"/>
          <w:bCs/>
          <w:sz w:val="28"/>
          <w:szCs w:val="28"/>
          <w:lang w:val="en-GB"/>
        </w:rPr>
        <w:br/>
        <w:t xml:space="preserve">Location </w:t>
      </w:r>
      <w:r w:rsidRPr="00C36FF7">
        <w:rPr>
          <w:rStyle w:val="Gl"/>
          <w:rFonts w:ascii="Times New Roman" w:hAnsi="Times New Roman" w:cs="Times New Roman"/>
          <w:sz w:val="28"/>
          <w:szCs w:val="28"/>
          <w:lang w:val="en-GB"/>
        </w:rPr>
        <w:t>– İstanbul</w:t>
      </w:r>
      <w:r w:rsidRPr="00C36FF7">
        <w:rPr>
          <w:rStyle w:val="Vurgu"/>
          <w:rFonts w:ascii="Times New Roman" w:hAnsi="Times New Roman" w:cs="Times New Roman"/>
          <w:b/>
          <w:bCs/>
          <w:i w:val="0"/>
          <w:sz w:val="28"/>
          <w:szCs w:val="28"/>
          <w:lang w:val="en-GB"/>
        </w:rPr>
        <w:t xml:space="preserve">, </w:t>
      </w:r>
      <w:proofErr w:type="spellStart"/>
      <w:r w:rsidRPr="00C36FF7">
        <w:rPr>
          <w:rStyle w:val="Vurgu"/>
          <w:rFonts w:ascii="Times New Roman" w:hAnsi="Times New Roman" w:cs="Times New Roman"/>
          <w:b/>
          <w:bCs/>
          <w:i w:val="0"/>
          <w:sz w:val="28"/>
          <w:szCs w:val="28"/>
          <w:lang w:val="en-GB"/>
        </w:rPr>
        <w:t>Türkiye</w:t>
      </w:r>
      <w:proofErr w:type="spellEnd"/>
      <w:r w:rsidRPr="00C36FF7">
        <w:rPr>
          <w:rStyle w:val="Vurgu"/>
          <w:rFonts w:ascii="Times New Roman" w:hAnsi="Times New Roman" w:cs="Times New Roman"/>
          <w:b/>
          <w:bCs/>
          <w:i w:val="0"/>
          <w:sz w:val="28"/>
          <w:szCs w:val="28"/>
          <w:lang w:val="en-GB"/>
        </w:rPr>
        <w:t xml:space="preserve"> </w:t>
      </w:r>
    </w:p>
    <w:p w:rsidR="00ED1D2A" w:rsidRPr="00C36FF7" w:rsidRDefault="00ED1D2A" w:rsidP="00ED1D2A">
      <w:pPr>
        <w:ind w:left="709" w:hanging="349"/>
        <w:outlineLvl w:val="0"/>
        <w:rPr>
          <w:rStyle w:val="Gl"/>
          <w:rFonts w:ascii="Times New Roman" w:hAnsi="Times New Roman" w:cs="Times New Roman"/>
          <w:lang w:val="en-GB"/>
        </w:rPr>
      </w:pP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1.</w:t>
      </w:r>
      <w:r w:rsidRPr="00C36FF7">
        <w:rPr>
          <w:rStyle w:val="Gl"/>
          <w:rFonts w:ascii="Times New Roman" w:hAnsi="Times New Roman" w:cs="Times New Roman"/>
          <w:lang w:val="en-GB"/>
        </w:rPr>
        <w:tab/>
        <w:t>Reference</w:t>
      </w:r>
    </w:p>
    <w:p w:rsidR="00ED1D2A" w:rsidRPr="00C36FF7" w:rsidRDefault="00ED1D2A" w:rsidP="00ED1D2A">
      <w:pPr>
        <w:ind w:left="709" w:hanging="349"/>
        <w:outlineLvl w:val="0"/>
        <w:rPr>
          <w:rFonts w:ascii="Times New Roman" w:hAnsi="Times New Roman" w:cs="Times New Roman"/>
        </w:rPr>
      </w:pPr>
      <w:r w:rsidRPr="00C36FF7">
        <w:rPr>
          <w:rFonts w:ascii="Times New Roman" w:hAnsi="Times New Roman" w:cs="Times New Roman"/>
        </w:rPr>
        <w:t>BSB 00460/ST-05 / SUPPLY-01</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2.</w:t>
      </w:r>
      <w:r w:rsidRPr="00C36FF7">
        <w:rPr>
          <w:rStyle w:val="Gl"/>
          <w:rFonts w:ascii="Times New Roman" w:hAnsi="Times New Roman" w:cs="Times New Roman"/>
          <w:lang w:val="en-GB"/>
        </w:rPr>
        <w:tab/>
        <w:t>Procedure</w:t>
      </w:r>
    </w:p>
    <w:p w:rsidR="00ED1D2A" w:rsidRPr="00C36FF7" w:rsidRDefault="00ED1D2A" w:rsidP="00ED1D2A">
      <w:pPr>
        <w:pStyle w:val="Blockquote"/>
        <w:ind w:left="426"/>
        <w:jc w:val="both"/>
        <w:rPr>
          <w:sz w:val="22"/>
          <w:szCs w:val="22"/>
          <w:lang w:val="en-GB"/>
        </w:rPr>
      </w:pPr>
      <w:r w:rsidRPr="00C36FF7">
        <w:rPr>
          <w:sz w:val="22"/>
          <w:szCs w:val="22"/>
          <w:lang w:val="en-GB"/>
        </w:rPr>
        <w:t>Simplified</w:t>
      </w:r>
    </w:p>
    <w:p w:rsidR="00ED1D2A" w:rsidRPr="00C36FF7" w:rsidRDefault="00ED1D2A" w:rsidP="00ED1D2A">
      <w:pPr>
        <w:ind w:left="709" w:hanging="349"/>
        <w:outlineLvl w:val="0"/>
        <w:rPr>
          <w:rFonts w:ascii="Times New Roman" w:hAnsi="Times New Roman" w:cs="Times New Roman"/>
          <w:b/>
          <w:lang w:val="en-GB"/>
        </w:rPr>
      </w:pPr>
      <w:r w:rsidRPr="00C36FF7">
        <w:rPr>
          <w:rStyle w:val="Gl"/>
          <w:rFonts w:ascii="Times New Roman" w:hAnsi="Times New Roman" w:cs="Times New Roman"/>
          <w:lang w:val="en-GB"/>
        </w:rPr>
        <w:t xml:space="preserve">3. </w:t>
      </w:r>
      <w:r w:rsidRPr="00C36FF7">
        <w:rPr>
          <w:rStyle w:val="Gl"/>
          <w:rFonts w:ascii="Times New Roman" w:hAnsi="Times New Roman" w:cs="Times New Roman"/>
          <w:lang w:val="en-GB"/>
        </w:rPr>
        <w:tab/>
        <w:t>Programme title</w:t>
      </w:r>
    </w:p>
    <w:p w:rsidR="00ED1D2A" w:rsidRPr="00C36FF7" w:rsidRDefault="00ED1D2A" w:rsidP="00ED1D2A">
      <w:pPr>
        <w:pStyle w:val="PRAGHeading2"/>
        <w:numPr>
          <w:ilvl w:val="0"/>
          <w:numId w:val="0"/>
        </w:numPr>
        <w:ind w:left="357" w:right="357"/>
        <w:rPr>
          <w:sz w:val="22"/>
          <w:szCs w:val="22"/>
          <w:lang w:val="en-GB"/>
        </w:rPr>
      </w:pPr>
      <w:r w:rsidRPr="00C36FF7">
        <w:rPr>
          <w:sz w:val="22"/>
          <w:szCs w:val="22"/>
          <w:lang w:val="en-GB"/>
        </w:rPr>
        <w:t>EU INTERREG NEXT BLACK SEA BASIN PROGRAMME</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 xml:space="preserve">4. </w:t>
      </w:r>
      <w:r w:rsidRPr="00C36FF7">
        <w:rPr>
          <w:rStyle w:val="Gl"/>
          <w:rFonts w:ascii="Times New Roman" w:hAnsi="Times New Roman" w:cs="Times New Roman"/>
          <w:lang w:val="en-GB"/>
        </w:rPr>
        <w:tab/>
        <w:t>Financing</w:t>
      </w:r>
    </w:p>
    <w:p w:rsidR="00ED1D2A" w:rsidRPr="00C36FF7" w:rsidRDefault="00ED1D2A" w:rsidP="00ED1D2A">
      <w:pPr>
        <w:ind w:left="709" w:hanging="349"/>
        <w:outlineLvl w:val="0"/>
        <w:rPr>
          <w:rFonts w:ascii="Times New Roman" w:hAnsi="Times New Roman" w:cs="Times New Roman"/>
        </w:rPr>
      </w:pPr>
      <w:r w:rsidRPr="00C36FF7">
        <w:rPr>
          <w:rFonts w:ascii="Times New Roman" w:hAnsi="Times New Roman" w:cs="Times New Roman"/>
          <w:color w:val="000000"/>
        </w:rPr>
        <w:t xml:space="preserve">BSB00460 / </w:t>
      </w:r>
      <w:proofErr w:type="spellStart"/>
      <w:r w:rsidRPr="00C36FF7">
        <w:rPr>
          <w:rFonts w:ascii="Times New Roman" w:hAnsi="Times New Roman" w:cs="Times New Roman"/>
          <w:color w:val="000000"/>
        </w:rPr>
        <w:t>Acting</w:t>
      </w:r>
      <w:proofErr w:type="spellEnd"/>
      <w:r w:rsidRPr="00C36FF7">
        <w:rPr>
          <w:rFonts w:ascii="Times New Roman" w:hAnsi="Times New Roman" w:cs="Times New Roman"/>
          <w:color w:val="000000"/>
        </w:rPr>
        <w:t xml:space="preserve"> </w:t>
      </w:r>
      <w:proofErr w:type="spellStart"/>
      <w:r w:rsidRPr="00C36FF7">
        <w:rPr>
          <w:rFonts w:ascii="Times New Roman" w:hAnsi="Times New Roman" w:cs="Times New Roman"/>
          <w:color w:val="000000"/>
        </w:rPr>
        <w:t>Together</w:t>
      </w:r>
      <w:proofErr w:type="spellEnd"/>
      <w:r w:rsidRPr="00C36FF7">
        <w:rPr>
          <w:rFonts w:ascii="Times New Roman" w:hAnsi="Times New Roman" w:cs="Times New Roman"/>
          <w:color w:val="000000"/>
        </w:rPr>
        <w:t xml:space="preserve"> </w:t>
      </w:r>
      <w:proofErr w:type="spellStart"/>
      <w:r w:rsidRPr="00C36FF7">
        <w:rPr>
          <w:rFonts w:ascii="Times New Roman" w:hAnsi="Times New Roman" w:cs="Times New Roman"/>
          <w:color w:val="000000"/>
        </w:rPr>
        <w:t>for</w:t>
      </w:r>
      <w:proofErr w:type="spellEnd"/>
      <w:r w:rsidRPr="00C36FF7">
        <w:rPr>
          <w:rFonts w:ascii="Times New Roman" w:hAnsi="Times New Roman" w:cs="Times New Roman"/>
          <w:color w:val="000000"/>
        </w:rPr>
        <w:t xml:space="preserve"> </w:t>
      </w:r>
      <w:proofErr w:type="spellStart"/>
      <w:r w:rsidRPr="00C36FF7">
        <w:rPr>
          <w:rFonts w:ascii="Times New Roman" w:hAnsi="Times New Roman" w:cs="Times New Roman"/>
          <w:color w:val="000000"/>
        </w:rPr>
        <w:t>Greener</w:t>
      </w:r>
      <w:proofErr w:type="spellEnd"/>
      <w:r w:rsidRPr="00C36FF7">
        <w:rPr>
          <w:rFonts w:ascii="Times New Roman" w:hAnsi="Times New Roman" w:cs="Times New Roman"/>
          <w:color w:val="000000"/>
        </w:rPr>
        <w:t xml:space="preserve"> </w:t>
      </w:r>
      <w:proofErr w:type="spellStart"/>
      <w:r w:rsidRPr="00C36FF7">
        <w:rPr>
          <w:rFonts w:ascii="Times New Roman" w:hAnsi="Times New Roman" w:cs="Times New Roman"/>
          <w:color w:val="000000"/>
        </w:rPr>
        <w:t>Cities</w:t>
      </w:r>
      <w:proofErr w:type="spellEnd"/>
      <w:r w:rsidRPr="00C36FF7">
        <w:rPr>
          <w:rFonts w:ascii="Times New Roman" w:hAnsi="Times New Roman" w:cs="Times New Roman"/>
          <w:i/>
          <w:iCs/>
        </w:rPr>
        <w:t xml:space="preserve"> </w:t>
      </w:r>
      <w:r w:rsidRPr="00C36FF7">
        <w:rPr>
          <w:rFonts w:ascii="Times New Roman" w:hAnsi="Times New Roman" w:cs="Times New Roman"/>
        </w:rPr>
        <w:t xml:space="preserve">- GREENCITIES </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 xml:space="preserve">5. </w:t>
      </w:r>
      <w:r w:rsidRPr="00C36FF7">
        <w:rPr>
          <w:rStyle w:val="Gl"/>
          <w:rFonts w:ascii="Times New Roman" w:hAnsi="Times New Roman" w:cs="Times New Roman"/>
          <w:lang w:val="en-GB"/>
        </w:rPr>
        <w:tab/>
        <w:t>Contracting authority</w:t>
      </w:r>
    </w:p>
    <w:p w:rsidR="00ED1D2A" w:rsidRPr="00C36FF7" w:rsidRDefault="00ED1D2A" w:rsidP="00ED1D2A">
      <w:pPr>
        <w:ind w:left="357" w:right="357"/>
        <w:jc w:val="both"/>
        <w:rPr>
          <w:rStyle w:val="Vurgu"/>
          <w:rFonts w:ascii="Times New Roman" w:hAnsi="Times New Roman" w:cs="Times New Roman"/>
          <w:i w:val="0"/>
          <w:lang w:val="en-GB"/>
        </w:rPr>
      </w:pPr>
      <w:r w:rsidRPr="00C36FF7">
        <w:rPr>
          <w:rFonts w:ascii="Times New Roman" w:hAnsi="Times New Roman" w:cs="Times New Roman"/>
          <w:color w:val="000000"/>
        </w:rPr>
        <w:t>IPA Stratejik Danışmanlık Anonim Şirketi</w:t>
      </w:r>
      <w:r w:rsidRPr="00C36FF7">
        <w:rPr>
          <w:rStyle w:val="Vurgu"/>
          <w:rFonts w:ascii="Times New Roman" w:hAnsi="Times New Roman" w:cs="Times New Roman"/>
          <w:i w:val="0"/>
          <w:lang w:val="en-GB"/>
        </w:rPr>
        <w:t xml:space="preserve"> / IPA</w:t>
      </w:r>
    </w:p>
    <w:p w:rsidR="00ED1D2A" w:rsidRPr="00C36FF7" w:rsidRDefault="00ED1D2A" w:rsidP="00ED1D2A">
      <w:pPr>
        <w:rPr>
          <w:rFonts w:ascii="Times New Roman" w:hAnsi="Times New Roman" w:cs="Times New Roman"/>
          <w:lang w:val="en-GB"/>
        </w:rPr>
      </w:pPr>
      <w:r w:rsidRPr="00C36FF7">
        <w:rPr>
          <w:rFonts w:ascii="Times New Roman" w:hAnsi="Times New Roman" w:cs="Times New Roman"/>
          <w:noProof/>
          <w:lang w:eastAsia="tr-TR"/>
        </w:rPr>
        <mc:AlternateContent>
          <mc:Choice Requires="wps">
            <w:drawing>
              <wp:anchor distT="0" distB="0" distL="114300" distR="114300" simplePos="0" relativeHeight="251659264" behindDoc="0" locked="0" layoutInCell="0" allowOverlap="1" wp14:anchorId="1198A7B1" wp14:editId="2865E5FA">
                <wp:simplePos x="0" y="0"/>
                <wp:positionH relativeFrom="column">
                  <wp:posOffset>0</wp:posOffset>
                </wp:positionH>
                <wp:positionV relativeFrom="paragraph">
                  <wp:posOffset>152400</wp:posOffset>
                </wp:positionV>
                <wp:extent cx="5943600" cy="635"/>
                <wp:effectExtent l="0" t="0" r="0" b="0"/>
                <wp:wrapNone/>
                <wp:docPr id="209887809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CDFE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" o:allowincell="f" strokecolor="#d4d4d4" strokeweight="1.75pt">
                <v:shadow on="t" offset="0,-1pt"/>
              </v:line>
            </w:pict>
          </mc:Fallback>
        </mc:AlternateContent>
      </w:r>
    </w:p>
    <w:p w:rsidR="00ED1D2A" w:rsidRPr="00C36FF7" w:rsidRDefault="00ED1D2A" w:rsidP="00ED1D2A">
      <w:pPr>
        <w:jc w:val="center"/>
        <w:rPr>
          <w:rFonts w:ascii="Times New Roman" w:hAnsi="Times New Roman" w:cs="Times New Roman"/>
          <w:sz w:val="28"/>
          <w:szCs w:val="28"/>
          <w:lang w:val="en-GB"/>
        </w:rPr>
      </w:pPr>
      <w:r w:rsidRPr="00C36FF7">
        <w:rPr>
          <w:rStyle w:val="Gl"/>
          <w:rFonts w:ascii="Times New Roman" w:hAnsi="Times New Roman" w:cs="Times New Roman"/>
          <w:sz w:val="28"/>
          <w:szCs w:val="28"/>
          <w:lang w:val="en-GB"/>
        </w:rPr>
        <w:t>CONTRACT SPECIFICATION</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 xml:space="preserve">6. </w:t>
      </w:r>
      <w:r w:rsidRPr="00C36FF7">
        <w:rPr>
          <w:rStyle w:val="Gl"/>
          <w:rFonts w:ascii="Times New Roman" w:hAnsi="Times New Roman" w:cs="Times New Roman"/>
          <w:lang w:val="en-GB"/>
        </w:rPr>
        <w:tab/>
        <w:t>Nature of contract</w:t>
      </w:r>
    </w:p>
    <w:p w:rsidR="00ED1D2A" w:rsidRPr="00C36FF7" w:rsidRDefault="00ED1D2A" w:rsidP="00ED1D2A">
      <w:pPr>
        <w:pStyle w:val="Blockquote"/>
        <w:jc w:val="both"/>
        <w:rPr>
          <w:i/>
          <w:sz w:val="22"/>
          <w:szCs w:val="22"/>
          <w:lang w:val="en-GB"/>
        </w:rPr>
      </w:pPr>
      <w:r w:rsidRPr="00C36FF7">
        <w:rPr>
          <w:rStyle w:val="Vurgu"/>
          <w:i w:val="0"/>
          <w:sz w:val="22"/>
          <w:szCs w:val="22"/>
          <w:lang w:val="en-GB"/>
        </w:rPr>
        <w:t xml:space="preserve"> </w:t>
      </w:r>
      <w:proofErr w:type="gramStart"/>
      <w:r w:rsidRPr="00C36FF7">
        <w:rPr>
          <w:rStyle w:val="Vurgu"/>
          <w:i w:val="0"/>
          <w:sz w:val="22"/>
          <w:szCs w:val="22"/>
          <w:lang w:val="en-GB"/>
        </w:rPr>
        <w:t>lump</w:t>
      </w:r>
      <w:proofErr w:type="gramEnd"/>
      <w:r w:rsidRPr="00C36FF7">
        <w:rPr>
          <w:rStyle w:val="Vurgu"/>
          <w:i w:val="0"/>
          <w:sz w:val="22"/>
          <w:szCs w:val="22"/>
          <w:lang w:val="en-GB"/>
        </w:rPr>
        <w:t xml:space="preserve"> sum</w:t>
      </w:r>
    </w:p>
    <w:p w:rsidR="00ED1D2A" w:rsidRPr="00C36FF7" w:rsidRDefault="00ED1D2A" w:rsidP="00ED1D2A">
      <w:pPr>
        <w:ind w:left="709" w:hanging="352"/>
        <w:outlineLvl w:val="0"/>
        <w:rPr>
          <w:rFonts w:ascii="Times New Roman" w:hAnsi="Times New Roman" w:cs="Times New Roman"/>
          <w:lang w:val="en-GB"/>
        </w:rPr>
      </w:pPr>
      <w:r w:rsidRPr="00C36FF7">
        <w:rPr>
          <w:rStyle w:val="Gl"/>
          <w:rFonts w:ascii="Times New Roman" w:hAnsi="Times New Roman" w:cs="Times New Roman"/>
          <w:lang w:val="en-GB"/>
        </w:rPr>
        <w:t xml:space="preserve">7. </w:t>
      </w:r>
      <w:r w:rsidRPr="00C36FF7">
        <w:rPr>
          <w:rStyle w:val="Gl"/>
          <w:rFonts w:ascii="Times New Roman" w:hAnsi="Times New Roman" w:cs="Times New Roman"/>
          <w:lang w:val="en-GB"/>
        </w:rPr>
        <w:tab/>
        <w:t>Contract description</w:t>
      </w:r>
    </w:p>
    <w:p w:rsidR="00ED1D2A" w:rsidRPr="00C36FF7" w:rsidRDefault="00ED1D2A" w:rsidP="00ED1D2A">
      <w:pPr>
        <w:pStyle w:val="Blockquote"/>
        <w:jc w:val="both"/>
        <w:rPr>
          <w:color w:val="000000"/>
          <w:sz w:val="22"/>
          <w:szCs w:val="22"/>
        </w:rPr>
      </w:pPr>
      <w:r w:rsidRPr="00C36FF7">
        <w:rPr>
          <w:color w:val="000000"/>
          <w:sz w:val="22"/>
          <w:szCs w:val="22"/>
        </w:rPr>
        <w:t xml:space="preserve">As part of the “EU INTERREG NEXT Black Sea </w:t>
      </w:r>
      <w:proofErr w:type="spellStart"/>
      <w:r w:rsidRPr="00C36FF7">
        <w:rPr>
          <w:color w:val="000000"/>
          <w:sz w:val="22"/>
          <w:szCs w:val="22"/>
        </w:rPr>
        <w:t>Programme</w:t>
      </w:r>
      <w:proofErr w:type="spellEnd"/>
      <w:r w:rsidRPr="00C36FF7">
        <w:rPr>
          <w:color w:val="000000"/>
          <w:sz w:val="22"/>
          <w:szCs w:val="22"/>
        </w:rPr>
        <w:t xml:space="preserve">”-supported GREENCITIES Project, led by IPA, the following equipment </w:t>
      </w:r>
      <w:proofErr w:type="gramStart"/>
      <w:r w:rsidRPr="00C36FF7">
        <w:rPr>
          <w:color w:val="000000"/>
          <w:sz w:val="22"/>
          <w:szCs w:val="22"/>
        </w:rPr>
        <w:t>will be procured</w:t>
      </w:r>
      <w:proofErr w:type="gramEnd"/>
      <w:r w:rsidRPr="00C36FF7">
        <w:rPr>
          <w:color w:val="000000"/>
          <w:sz w:val="22"/>
          <w:szCs w:val="22"/>
        </w:rPr>
        <w:t xml:space="preserve">:  </w:t>
      </w:r>
    </w:p>
    <w:p w:rsidR="00ED1D2A" w:rsidRPr="00C36FF7" w:rsidRDefault="00ED1D2A" w:rsidP="00ED1D2A">
      <w:pPr>
        <w:pStyle w:val="Blockquote"/>
        <w:jc w:val="both"/>
        <w:rPr>
          <w:color w:val="000000"/>
          <w:sz w:val="22"/>
          <w:szCs w:val="22"/>
        </w:rPr>
      </w:pPr>
      <w:r w:rsidRPr="00C36FF7">
        <w:rPr>
          <w:color w:val="000000"/>
          <w:sz w:val="22"/>
          <w:szCs w:val="22"/>
        </w:rPr>
        <w:t xml:space="preserve">- Multi-purpose sensors (for measurements to be conducted in the </w:t>
      </w:r>
      <w:proofErr w:type="spellStart"/>
      <w:r w:rsidRPr="00C36FF7">
        <w:rPr>
          <w:color w:val="000000"/>
          <w:sz w:val="22"/>
          <w:szCs w:val="22"/>
        </w:rPr>
        <w:t>Ayamama</w:t>
      </w:r>
      <w:proofErr w:type="spellEnd"/>
      <w:r w:rsidRPr="00C36FF7">
        <w:rPr>
          <w:color w:val="000000"/>
          <w:sz w:val="22"/>
          <w:szCs w:val="22"/>
        </w:rPr>
        <w:t xml:space="preserve"> Living Valley),  </w:t>
      </w:r>
    </w:p>
    <w:p w:rsidR="00ED1D2A" w:rsidRPr="00C36FF7" w:rsidRDefault="00ED1D2A" w:rsidP="00ED1D2A">
      <w:pPr>
        <w:pStyle w:val="Blockquote"/>
        <w:jc w:val="both"/>
        <w:rPr>
          <w:color w:val="000000"/>
          <w:sz w:val="22"/>
          <w:szCs w:val="22"/>
        </w:rPr>
      </w:pPr>
      <w:r w:rsidRPr="00C36FF7">
        <w:rPr>
          <w:color w:val="000000"/>
          <w:sz w:val="22"/>
          <w:szCs w:val="22"/>
        </w:rPr>
        <w:t xml:space="preserve">- Entrance cameras (for monitoring),  </w:t>
      </w:r>
    </w:p>
    <w:p w:rsidR="00ED1D2A" w:rsidRPr="00C36FF7" w:rsidRDefault="00ED1D2A" w:rsidP="00ED1D2A">
      <w:pPr>
        <w:pStyle w:val="Blockquote"/>
        <w:jc w:val="both"/>
        <w:rPr>
          <w:color w:val="000000"/>
          <w:sz w:val="22"/>
          <w:szCs w:val="22"/>
        </w:rPr>
      </w:pPr>
      <w:r w:rsidRPr="00C36FF7">
        <w:rPr>
          <w:color w:val="000000"/>
          <w:sz w:val="22"/>
          <w:szCs w:val="22"/>
        </w:rPr>
        <w:t xml:space="preserve">- VR glasses and tablets (for training purposes),  </w:t>
      </w:r>
    </w:p>
    <w:p w:rsidR="00ED1D2A" w:rsidRPr="00C36FF7" w:rsidRDefault="00ED1D2A" w:rsidP="00ED1D2A">
      <w:pPr>
        <w:pStyle w:val="Blockquote"/>
        <w:jc w:val="both"/>
        <w:rPr>
          <w:color w:val="000000"/>
          <w:sz w:val="22"/>
          <w:szCs w:val="22"/>
        </w:rPr>
      </w:pPr>
      <w:r w:rsidRPr="00C36FF7">
        <w:rPr>
          <w:color w:val="000000"/>
          <w:sz w:val="22"/>
          <w:szCs w:val="22"/>
        </w:rPr>
        <w:t xml:space="preserve">- Kiosk installation (to enable citizens to measure their carbon footprints), and  </w:t>
      </w:r>
    </w:p>
    <w:p w:rsidR="00ED1D2A" w:rsidRPr="00C36FF7" w:rsidRDefault="00ED1D2A" w:rsidP="00ED1D2A">
      <w:pPr>
        <w:pStyle w:val="Blockquote"/>
        <w:jc w:val="both"/>
        <w:rPr>
          <w:color w:val="000000"/>
          <w:sz w:val="22"/>
          <w:szCs w:val="22"/>
        </w:rPr>
      </w:pPr>
      <w:r w:rsidRPr="00C36FF7">
        <w:rPr>
          <w:color w:val="000000"/>
          <w:sz w:val="22"/>
          <w:szCs w:val="22"/>
        </w:rPr>
        <w:t xml:space="preserve">- GIS-based software and digital database (for storing, editing, and publishing 3D maps produced within the project).  </w:t>
      </w:r>
    </w:p>
    <w:p w:rsidR="00ED1D2A" w:rsidRPr="00C36FF7" w:rsidRDefault="00ED1D2A" w:rsidP="00ED1D2A">
      <w:pPr>
        <w:pStyle w:val="Blockquote"/>
        <w:jc w:val="both"/>
        <w:rPr>
          <w:color w:val="000000"/>
          <w:sz w:val="22"/>
          <w:szCs w:val="22"/>
        </w:rPr>
      </w:pP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lastRenderedPageBreak/>
        <w:t xml:space="preserve">8. </w:t>
      </w:r>
      <w:r w:rsidRPr="00C36FF7">
        <w:rPr>
          <w:rStyle w:val="Gl"/>
          <w:rFonts w:ascii="Times New Roman" w:hAnsi="Times New Roman" w:cs="Times New Roman"/>
          <w:lang w:val="en-GB"/>
        </w:rPr>
        <w:tab/>
        <w:t>Number and titles of lots</w:t>
      </w:r>
    </w:p>
    <w:p w:rsidR="00ED1D2A" w:rsidRPr="00C36FF7" w:rsidRDefault="00ED1D2A" w:rsidP="00ED1D2A">
      <w:pPr>
        <w:ind w:left="709" w:hanging="349"/>
        <w:outlineLvl w:val="0"/>
        <w:rPr>
          <w:rFonts w:ascii="Times New Roman" w:hAnsi="Times New Roman" w:cs="Times New Roman"/>
          <w:lang w:val="en-GB"/>
        </w:rPr>
      </w:pPr>
      <w:r w:rsidRPr="00C36FF7">
        <w:rPr>
          <w:rStyle w:val="Vurgu"/>
          <w:rFonts w:ascii="Times New Roman" w:hAnsi="Times New Roman" w:cs="Times New Roman"/>
          <w:i w:val="0"/>
          <w:lang w:val="en-GB"/>
        </w:rPr>
        <w:t>Lots    Titles:</w:t>
      </w:r>
    </w:p>
    <w:p w:rsidR="00ED1D2A" w:rsidRPr="00C36FF7" w:rsidRDefault="00ED1D2A" w:rsidP="00ED1D2A">
      <w:pPr>
        <w:pStyle w:val="Blockquote"/>
        <w:jc w:val="both"/>
        <w:rPr>
          <w:color w:val="000000"/>
          <w:sz w:val="22"/>
          <w:szCs w:val="22"/>
        </w:rPr>
      </w:pPr>
      <w:r w:rsidRPr="00C36FF7">
        <w:rPr>
          <w:color w:val="000000"/>
          <w:sz w:val="22"/>
          <w:szCs w:val="22"/>
        </w:rPr>
        <w:t xml:space="preserve">- LOT-1: Camera, VR Glasses, Tablet  </w:t>
      </w:r>
    </w:p>
    <w:p w:rsidR="00ED1D2A" w:rsidRPr="00C36FF7" w:rsidRDefault="00ED1D2A" w:rsidP="00ED1D2A">
      <w:pPr>
        <w:pStyle w:val="Blockquote"/>
        <w:jc w:val="both"/>
        <w:rPr>
          <w:color w:val="000000"/>
          <w:sz w:val="22"/>
          <w:szCs w:val="22"/>
        </w:rPr>
      </w:pPr>
      <w:r w:rsidRPr="00C36FF7">
        <w:rPr>
          <w:color w:val="000000"/>
          <w:sz w:val="22"/>
          <w:szCs w:val="22"/>
        </w:rPr>
        <w:t xml:space="preserve">- LOT-2: Kiosk  </w:t>
      </w:r>
    </w:p>
    <w:p w:rsidR="00ED1D2A" w:rsidRPr="00C36FF7" w:rsidRDefault="00ED1D2A" w:rsidP="00ED1D2A">
      <w:pPr>
        <w:pStyle w:val="Blockquote"/>
        <w:jc w:val="both"/>
        <w:rPr>
          <w:color w:val="000000"/>
          <w:sz w:val="22"/>
          <w:szCs w:val="22"/>
        </w:rPr>
      </w:pPr>
      <w:r w:rsidRPr="00C36FF7">
        <w:rPr>
          <w:color w:val="000000"/>
          <w:sz w:val="22"/>
          <w:szCs w:val="22"/>
        </w:rPr>
        <w:t xml:space="preserve">- LOT-3: Digital Database  </w:t>
      </w:r>
    </w:p>
    <w:p w:rsidR="00ED1D2A" w:rsidRPr="00C36FF7" w:rsidRDefault="00ED1D2A" w:rsidP="00ED1D2A">
      <w:pPr>
        <w:pStyle w:val="Blockquote"/>
        <w:jc w:val="both"/>
        <w:rPr>
          <w:color w:val="000000"/>
          <w:sz w:val="22"/>
          <w:szCs w:val="22"/>
        </w:rPr>
      </w:pPr>
      <w:r w:rsidRPr="00C36FF7">
        <w:rPr>
          <w:color w:val="000000"/>
          <w:sz w:val="22"/>
          <w:szCs w:val="22"/>
        </w:rPr>
        <w:t xml:space="preserve">- LOT-4: GIS-Based Software  </w:t>
      </w:r>
    </w:p>
    <w:p w:rsidR="00ED1D2A" w:rsidRPr="00C36FF7" w:rsidRDefault="00ED1D2A" w:rsidP="00ED1D2A">
      <w:pPr>
        <w:pStyle w:val="Blockquote"/>
        <w:jc w:val="both"/>
        <w:rPr>
          <w:i/>
          <w:sz w:val="22"/>
          <w:szCs w:val="22"/>
          <w:lang w:val="en-GB"/>
        </w:rPr>
      </w:pPr>
      <w:r w:rsidRPr="00C36FF7">
        <w:rPr>
          <w:color w:val="000000"/>
          <w:sz w:val="22"/>
          <w:szCs w:val="22"/>
        </w:rPr>
        <w:t xml:space="preserve">- LOT-5: Multi-Purpose Sensors </w:t>
      </w:r>
    </w:p>
    <w:p w:rsidR="00ED1D2A" w:rsidRPr="00C36FF7" w:rsidRDefault="00ED1D2A" w:rsidP="00ED1D2A">
      <w:pPr>
        <w:rPr>
          <w:rFonts w:ascii="Times New Roman" w:hAnsi="Times New Roman" w:cs="Times New Roman"/>
          <w:b/>
          <w:bCs/>
          <w:lang w:val="en-GB"/>
        </w:rPr>
      </w:pPr>
      <w:r w:rsidRPr="00C36FF7">
        <w:rPr>
          <w:rFonts w:ascii="Times New Roman" w:hAnsi="Times New Roman" w:cs="Times New Roman"/>
          <w:b/>
          <w:bCs/>
          <w:noProof/>
          <w:lang w:eastAsia="tr-TR"/>
        </w:rPr>
        <mc:AlternateContent>
          <mc:Choice Requires="wps">
            <w:drawing>
              <wp:anchor distT="0" distB="0" distL="114300" distR="114300" simplePos="0" relativeHeight="251660288" behindDoc="0" locked="0" layoutInCell="0" allowOverlap="1" wp14:anchorId="683475E5" wp14:editId="3F9BB65F">
                <wp:simplePos x="0" y="0"/>
                <wp:positionH relativeFrom="column">
                  <wp:posOffset>-13335</wp:posOffset>
                </wp:positionH>
                <wp:positionV relativeFrom="paragraph">
                  <wp:posOffset>222885</wp:posOffset>
                </wp:positionV>
                <wp:extent cx="5943600" cy="635"/>
                <wp:effectExtent l="0" t="0" r="0" b="0"/>
                <wp:wrapNone/>
                <wp:docPr id="3419345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A1FF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" o:allowincell="f" strokecolor="#d4d4d4" strokeweight="1.75pt">
                <v:shadow on="t" offset="0,-1pt"/>
              </v:line>
            </w:pict>
          </mc:Fallback>
        </mc:AlternateContent>
      </w:r>
      <w:r w:rsidRPr="00C36FF7">
        <w:rPr>
          <w:rFonts w:ascii="Times New Roman" w:hAnsi="Times New Roman" w:cs="Times New Roman"/>
          <w:b/>
          <w:bCs/>
          <w:lang w:val="en-GB"/>
        </w:rPr>
        <w:t xml:space="preserve">9. </w:t>
      </w:r>
    </w:p>
    <w:p w:rsidR="00ED1D2A" w:rsidRPr="00C36FF7" w:rsidRDefault="00ED1D2A" w:rsidP="00ED1D2A">
      <w:pPr>
        <w:jc w:val="center"/>
        <w:rPr>
          <w:rFonts w:ascii="Times New Roman" w:hAnsi="Times New Roman" w:cs="Times New Roman"/>
          <w:sz w:val="28"/>
          <w:szCs w:val="28"/>
          <w:lang w:val="en-GB"/>
        </w:rPr>
      </w:pPr>
      <w:r w:rsidRPr="00C36FF7">
        <w:rPr>
          <w:rStyle w:val="Gl"/>
          <w:rFonts w:ascii="Times New Roman" w:hAnsi="Times New Roman" w:cs="Times New Roman"/>
          <w:sz w:val="28"/>
          <w:szCs w:val="28"/>
          <w:lang w:val="en-GB"/>
        </w:rPr>
        <w:t>CONDITIONS OF PARTICIPATION</w:t>
      </w:r>
    </w:p>
    <w:p w:rsidR="00ED1D2A" w:rsidRPr="00C36FF7" w:rsidRDefault="00ED1D2A" w:rsidP="00ED1D2A">
      <w:pPr>
        <w:pStyle w:val="DipnotMetni"/>
        <w:ind w:firstLine="426"/>
        <w:rPr>
          <w:rStyle w:val="Gl"/>
          <w:sz w:val="22"/>
          <w:szCs w:val="22"/>
          <w:lang w:val="en-GB"/>
        </w:rPr>
      </w:pPr>
      <w:r w:rsidRPr="00C36FF7">
        <w:rPr>
          <w:rStyle w:val="Gl"/>
          <w:sz w:val="22"/>
          <w:szCs w:val="22"/>
          <w:lang w:val="en-GB"/>
        </w:rPr>
        <w:t>10. Legal basis</w:t>
      </w:r>
    </w:p>
    <w:p w:rsidR="00ED1D2A" w:rsidRPr="00C36FF7" w:rsidRDefault="00ED1D2A" w:rsidP="00ED1D2A">
      <w:pPr>
        <w:pStyle w:val="paragraph"/>
        <w:tabs>
          <w:tab w:val="left" w:pos="284"/>
        </w:tabs>
        <w:spacing w:before="0" w:beforeAutospacing="0" w:after="0" w:afterAutospacing="0"/>
        <w:ind w:left="284"/>
        <w:textAlignment w:val="baseline"/>
        <w:rPr>
          <w:iCs/>
          <w:sz w:val="22"/>
          <w:szCs w:val="22"/>
          <w:highlight w:val="yellow"/>
          <w:lang w:val="en-IE"/>
        </w:rPr>
      </w:pPr>
      <w:r w:rsidRPr="00C36FF7">
        <w:rPr>
          <w:rStyle w:val="eop"/>
          <w:color w:val="FF0000"/>
          <w:sz w:val="22"/>
          <w:szCs w:val="22"/>
          <w:lang w:val="en-US"/>
        </w:rPr>
        <w:t xml:space="preserve">      </w:t>
      </w:r>
      <w:r w:rsidRPr="00C36FF7">
        <w:rPr>
          <w:sz w:val="22"/>
          <w:szCs w:val="22"/>
          <w:lang w:val="en-GB"/>
        </w:rPr>
        <w:t>EU INTERREG NEXT BLACK SEA BASIN PROGRAMME</w:t>
      </w:r>
      <w:r w:rsidRPr="00C36FF7">
        <w:rPr>
          <w:iCs/>
          <w:sz w:val="22"/>
          <w:szCs w:val="22"/>
          <w:lang w:val="en-IE"/>
        </w:rPr>
        <w:t>, under the Regulation 2021/1059 (</w:t>
      </w:r>
      <w:proofErr w:type="spellStart"/>
      <w:r w:rsidRPr="00C36FF7">
        <w:rPr>
          <w:iCs/>
          <w:sz w:val="22"/>
          <w:szCs w:val="22"/>
          <w:lang w:val="en-IE"/>
        </w:rPr>
        <w:t>Interreg</w:t>
      </w:r>
      <w:proofErr w:type="spellEnd"/>
      <w:r w:rsidRPr="00C36FF7">
        <w:rPr>
          <w:iCs/>
          <w:sz w:val="22"/>
          <w:szCs w:val="22"/>
          <w:lang w:val="en-IE"/>
        </w:rPr>
        <w:t xml:space="preserve"> Regulation).</w:t>
      </w:r>
    </w:p>
    <w:p w:rsidR="00ED1D2A" w:rsidRPr="00C36FF7" w:rsidRDefault="00ED1D2A" w:rsidP="00ED1D2A">
      <w:pPr>
        <w:pStyle w:val="paragraph"/>
        <w:spacing w:before="0" w:beforeAutospacing="0" w:after="0" w:afterAutospacing="0"/>
        <w:ind w:left="426"/>
        <w:jc w:val="both"/>
        <w:textAlignment w:val="baseline"/>
        <w:rPr>
          <w:rStyle w:val="normaltextrun"/>
          <w:sz w:val="22"/>
          <w:szCs w:val="22"/>
          <w:shd w:val="clear" w:color="auto" w:fill="FFFF00"/>
          <w:lang w:val="en-GB"/>
        </w:rPr>
      </w:pPr>
    </w:p>
    <w:p w:rsidR="00ED1D2A" w:rsidRPr="00C36FF7" w:rsidRDefault="00ED1D2A" w:rsidP="00ED1D2A">
      <w:pPr>
        <w:ind w:left="709" w:hanging="349"/>
        <w:outlineLvl w:val="0"/>
        <w:rPr>
          <w:rFonts w:ascii="Times New Roman" w:hAnsi="Times New Roman" w:cs="Times New Roman"/>
          <w:lang w:val="en-GB"/>
        </w:rPr>
      </w:pPr>
      <w:bookmarkStart w:id="0" w:name="_DV_M201"/>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0"/>
      <w:bookmarkEnd w:id="1"/>
      <w:bookmarkEnd w:id="2"/>
      <w:bookmarkEnd w:id="3"/>
      <w:bookmarkEnd w:id="4"/>
      <w:bookmarkEnd w:id="5"/>
      <w:bookmarkEnd w:id="6"/>
      <w:bookmarkEnd w:id="7"/>
      <w:bookmarkEnd w:id="8"/>
      <w:bookmarkEnd w:id="9"/>
      <w:bookmarkEnd w:id="10"/>
      <w:bookmarkEnd w:id="11"/>
      <w:bookmarkEnd w:id="12"/>
      <w:bookmarkEnd w:id="13"/>
      <w:r w:rsidRPr="00C36FF7">
        <w:rPr>
          <w:rStyle w:val="Gl"/>
          <w:rFonts w:ascii="Times New Roman" w:hAnsi="Times New Roman" w:cs="Times New Roman"/>
          <w:lang w:val="en-GB"/>
        </w:rPr>
        <w:t xml:space="preserve">11. </w:t>
      </w:r>
      <w:r w:rsidRPr="00C36FF7">
        <w:rPr>
          <w:rStyle w:val="Gl"/>
          <w:rFonts w:ascii="Times New Roman" w:hAnsi="Times New Roman" w:cs="Times New Roman"/>
          <w:lang w:val="en-GB"/>
        </w:rPr>
        <w:tab/>
        <w:t>Number of tenders</w:t>
      </w:r>
    </w:p>
    <w:p w:rsidR="00ED1D2A" w:rsidRPr="00C36FF7" w:rsidRDefault="00ED1D2A" w:rsidP="00ED1D2A">
      <w:pPr>
        <w:pStyle w:val="Blockquote"/>
        <w:jc w:val="both"/>
        <w:rPr>
          <w:sz w:val="22"/>
          <w:szCs w:val="22"/>
          <w:lang w:val="en-GB"/>
        </w:rPr>
      </w:pPr>
      <w:r w:rsidRPr="00C36FF7">
        <w:rPr>
          <w:sz w:val="22"/>
          <w:szCs w:val="22"/>
          <w:lang w:val="en-GB"/>
        </w:rPr>
        <w:t xml:space="preserve">No more than one tender </w:t>
      </w:r>
      <w:proofErr w:type="gramStart"/>
      <w:r w:rsidRPr="00C36FF7">
        <w:rPr>
          <w:sz w:val="22"/>
          <w:szCs w:val="22"/>
          <w:lang w:val="en-GB"/>
        </w:rPr>
        <w:t>can be submitted</w:t>
      </w:r>
      <w:proofErr w:type="gramEnd"/>
      <w:r w:rsidRPr="00C36FF7">
        <w:rPr>
          <w:sz w:val="22"/>
          <w:szCs w:val="22"/>
          <w:lang w:val="en-GB"/>
        </w:rPr>
        <w:t xml:space="preserve"> by a natural or legal person whatever the form of participation (as an individual legal entity or as leader or member of a consortium submitting a tender).  In the event that a natural or legal person submits more than one tender, all tenders in which that person has participated </w:t>
      </w:r>
      <w:proofErr w:type="gramStart"/>
      <w:r w:rsidRPr="00C36FF7">
        <w:rPr>
          <w:sz w:val="22"/>
          <w:szCs w:val="22"/>
          <w:lang w:val="en-GB"/>
        </w:rPr>
        <w:t>will be excluded</w:t>
      </w:r>
      <w:proofErr w:type="gramEnd"/>
      <w:r w:rsidRPr="00C36FF7">
        <w:rPr>
          <w:sz w:val="22"/>
          <w:szCs w:val="22"/>
          <w:lang w:val="en-GB"/>
        </w:rPr>
        <w:t>.</w:t>
      </w:r>
    </w:p>
    <w:p w:rsidR="00ED1D2A" w:rsidRPr="00C36FF7" w:rsidRDefault="00ED1D2A" w:rsidP="00ED1D2A">
      <w:pPr>
        <w:pStyle w:val="Blockquote"/>
        <w:jc w:val="both"/>
        <w:rPr>
          <w:sz w:val="22"/>
          <w:szCs w:val="22"/>
          <w:lang w:val="en-GB"/>
        </w:rPr>
      </w:pPr>
      <w:r w:rsidRPr="00C36FF7">
        <w:rPr>
          <w:sz w:val="22"/>
          <w:szCs w:val="22"/>
          <w:lang w:val="en-GB"/>
        </w:rPr>
        <w:t>No restrictions may be made in the number of lots a tenderer can be awarded.</w:t>
      </w:r>
    </w:p>
    <w:p w:rsidR="00ED1D2A" w:rsidRPr="00C36FF7" w:rsidRDefault="00ED1D2A" w:rsidP="00ED1D2A">
      <w:pPr>
        <w:pStyle w:val="Blockquote"/>
        <w:jc w:val="both"/>
        <w:rPr>
          <w:sz w:val="22"/>
          <w:szCs w:val="22"/>
          <w:lang w:val="en-GB"/>
        </w:rPr>
      </w:pPr>
      <w:r w:rsidRPr="00C36FF7">
        <w:rPr>
          <w:sz w:val="22"/>
          <w:szCs w:val="22"/>
          <w:lang w:val="en-GB"/>
        </w:rPr>
        <w:t xml:space="preserve">The tenderer may submit a tender for one lot only, several lots or all of the lots, but only one tender per lot. Contracts </w:t>
      </w:r>
      <w:proofErr w:type="gramStart"/>
      <w:r w:rsidRPr="00C36FF7">
        <w:rPr>
          <w:sz w:val="22"/>
          <w:szCs w:val="22"/>
          <w:lang w:val="en-GB"/>
        </w:rPr>
        <w:t>will be awarded</w:t>
      </w:r>
      <w:proofErr w:type="gramEnd"/>
      <w:r w:rsidRPr="00C36FF7">
        <w:rPr>
          <w:sz w:val="22"/>
          <w:szCs w:val="22"/>
          <w:lang w:val="en-GB"/>
        </w:rPr>
        <w:t xml:space="preserve"> lot by lot and each lot will form a separate contract.</w:t>
      </w:r>
    </w:p>
    <w:p w:rsidR="00ED1D2A" w:rsidRPr="00C36FF7" w:rsidRDefault="00ED1D2A" w:rsidP="00ED1D2A">
      <w:pPr>
        <w:snapToGrid w:val="0"/>
        <w:ind w:left="360" w:right="26"/>
        <w:jc w:val="both"/>
        <w:rPr>
          <w:rFonts w:ascii="Times New Roman" w:hAnsi="Times New Roman" w:cs="Times New Roman"/>
          <w:i/>
          <w:lang w:val="en-GB"/>
        </w:rPr>
      </w:pPr>
      <w:r w:rsidRPr="00C36FF7">
        <w:rPr>
          <w:rFonts w:ascii="Times New Roman" w:hAnsi="Times New Roman" w:cs="Times New Roman"/>
          <w:lang w:val="en-GB"/>
        </w:rPr>
        <w:t xml:space="preserve">Any tenderer may state in its tender that it would offer a discount in the event that its tender </w:t>
      </w:r>
      <w:proofErr w:type="gramStart"/>
      <w:r w:rsidRPr="00C36FF7">
        <w:rPr>
          <w:rFonts w:ascii="Times New Roman" w:hAnsi="Times New Roman" w:cs="Times New Roman"/>
          <w:lang w:val="en-GB"/>
        </w:rPr>
        <w:t>is accepted</w:t>
      </w:r>
      <w:proofErr w:type="gramEnd"/>
      <w:r w:rsidRPr="00C36FF7">
        <w:rPr>
          <w:rFonts w:ascii="Times New Roman" w:hAnsi="Times New Roman" w:cs="Times New Roman"/>
          <w:lang w:val="en-GB"/>
        </w:rPr>
        <w:t xml:space="preserve"> for more than one lot. </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 xml:space="preserve">12. </w:t>
      </w:r>
      <w:r w:rsidRPr="00C36FF7">
        <w:rPr>
          <w:rStyle w:val="Gl"/>
          <w:rFonts w:ascii="Times New Roman" w:hAnsi="Times New Roman" w:cs="Times New Roman"/>
          <w:lang w:val="en-GB"/>
        </w:rPr>
        <w:tab/>
        <w:t>Grounds for exclusion</w:t>
      </w:r>
    </w:p>
    <w:p w:rsidR="00ED1D2A" w:rsidRPr="00C36FF7" w:rsidRDefault="00ED1D2A" w:rsidP="00ED1D2A">
      <w:pPr>
        <w:pStyle w:val="Blockquote"/>
        <w:jc w:val="both"/>
        <w:rPr>
          <w:sz w:val="22"/>
          <w:szCs w:val="22"/>
          <w:lang w:val="en-GB"/>
        </w:rPr>
      </w:pPr>
      <w:r w:rsidRPr="00C36FF7">
        <w:rPr>
          <w:sz w:val="22"/>
          <w:szCs w:val="22"/>
          <w:lang w:val="en-GB"/>
        </w:rPr>
        <w:t>As part of the tender, tenderers must submit a signed declaration, included in the tender form, to the effect that they are not in any of the exclusion situations listed in point 18 of Annex II of the Financing Agreement between the European Commission and the partner country</w:t>
      </w:r>
      <w:r w:rsidRPr="00C36FF7">
        <w:rPr>
          <w:rStyle w:val="DipnotBavurusu"/>
          <w:sz w:val="22"/>
          <w:szCs w:val="22"/>
        </w:rPr>
        <w:footnoteReference w:id="1"/>
      </w:r>
      <w:r w:rsidRPr="00C36FF7">
        <w:rPr>
          <w:sz w:val="22"/>
          <w:szCs w:val="22"/>
          <w:lang w:val="en-GB"/>
        </w:rPr>
        <w:t xml:space="preserve">. </w:t>
      </w:r>
    </w:p>
    <w:p w:rsidR="00ED1D2A" w:rsidRPr="00C36FF7" w:rsidRDefault="00ED1D2A" w:rsidP="00ED1D2A">
      <w:pPr>
        <w:pStyle w:val="Blockquote"/>
        <w:jc w:val="both"/>
        <w:rPr>
          <w:sz w:val="22"/>
          <w:szCs w:val="22"/>
          <w:lang w:val="en-GB"/>
        </w:rPr>
      </w:pPr>
      <w:r w:rsidRPr="00C36FF7">
        <w:rPr>
          <w:sz w:val="22"/>
          <w:szCs w:val="22"/>
          <w:lang w:val="en-GB"/>
        </w:rPr>
        <w:t>Tenderer included in the lists of EU restrictive measures (</w:t>
      </w:r>
      <w:hyperlink r:id="rId8" w:history="1">
        <w:r w:rsidRPr="00C36FF7">
          <w:rPr>
            <w:rStyle w:val="Kpr"/>
            <w:sz w:val="22"/>
            <w:szCs w:val="22"/>
            <w:lang w:val="en-GB"/>
          </w:rPr>
          <w:t>www.sanctionsmap.eu</w:t>
        </w:r>
      </w:hyperlink>
      <w:r w:rsidRPr="00C36FF7">
        <w:rPr>
          <w:sz w:val="22"/>
          <w:szCs w:val="22"/>
          <w:lang w:val="en-GB"/>
        </w:rPr>
        <w:t xml:space="preserve">) </w:t>
      </w:r>
      <w:proofErr w:type="gramStart"/>
      <w:r w:rsidRPr="00C36FF7">
        <w:rPr>
          <w:sz w:val="22"/>
          <w:szCs w:val="22"/>
          <w:lang w:val="en-GB"/>
        </w:rPr>
        <w:t>at the moment</w:t>
      </w:r>
      <w:proofErr w:type="gramEnd"/>
      <w:r w:rsidRPr="00C36FF7">
        <w:rPr>
          <w:sz w:val="22"/>
          <w:szCs w:val="22"/>
          <w:lang w:val="en-GB"/>
        </w:rPr>
        <w:t xml:space="preserve"> of the award decision cannot be awarded the contract. </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 xml:space="preserve">13. </w:t>
      </w:r>
      <w:r w:rsidRPr="00C36FF7">
        <w:rPr>
          <w:rStyle w:val="Gl"/>
          <w:rFonts w:ascii="Times New Roman" w:hAnsi="Times New Roman" w:cs="Times New Roman"/>
          <w:lang w:val="en-GB"/>
        </w:rPr>
        <w:tab/>
        <w:t>Sub-contracting</w:t>
      </w:r>
    </w:p>
    <w:p w:rsidR="00ED1D2A" w:rsidRPr="00C36FF7" w:rsidRDefault="00ED1D2A" w:rsidP="00ED1D2A">
      <w:pPr>
        <w:ind w:left="709" w:hanging="349"/>
        <w:outlineLvl w:val="0"/>
        <w:rPr>
          <w:rStyle w:val="Vurgu"/>
          <w:rFonts w:ascii="Times New Roman" w:hAnsi="Times New Roman" w:cs="Times New Roman"/>
          <w:i w:val="0"/>
          <w:lang w:val="en-GB"/>
        </w:rPr>
      </w:pPr>
      <w:r w:rsidRPr="00C36FF7">
        <w:rPr>
          <w:rStyle w:val="Vurgu"/>
          <w:rFonts w:ascii="Times New Roman" w:hAnsi="Times New Roman" w:cs="Times New Roman"/>
          <w:i w:val="0"/>
          <w:lang w:val="en-GB"/>
        </w:rPr>
        <w:t xml:space="preserve">Subcontracting </w:t>
      </w:r>
      <w:proofErr w:type="gramStart"/>
      <w:r w:rsidRPr="00C36FF7">
        <w:rPr>
          <w:rStyle w:val="Vurgu"/>
          <w:rFonts w:ascii="Times New Roman" w:hAnsi="Times New Roman" w:cs="Times New Roman"/>
          <w:i w:val="0"/>
          <w:lang w:val="en-GB"/>
        </w:rPr>
        <w:t>is allowed</w:t>
      </w:r>
      <w:proofErr w:type="gramEnd"/>
      <w:r w:rsidRPr="00C36FF7">
        <w:rPr>
          <w:rStyle w:val="Vurgu"/>
          <w:rFonts w:ascii="Times New Roman" w:hAnsi="Times New Roman" w:cs="Times New Roman"/>
          <w:i w:val="0"/>
          <w:lang w:val="en-GB"/>
        </w:rPr>
        <w:t>.</w:t>
      </w:r>
    </w:p>
    <w:p w:rsidR="00ED1D2A" w:rsidRPr="00023F62" w:rsidRDefault="00ED1D2A" w:rsidP="00ED1D2A">
      <w:pPr>
        <w:keepNext/>
        <w:jc w:val="center"/>
        <w:rPr>
          <w:rFonts w:ascii="Times New Roman" w:hAnsi="Times New Roman" w:cs="Times New Roman"/>
          <w:sz w:val="28"/>
          <w:szCs w:val="28"/>
          <w:lang w:val="en-GB"/>
        </w:rPr>
      </w:pPr>
      <w:r w:rsidRPr="00023F62">
        <w:rPr>
          <w:rFonts w:ascii="Times New Roman" w:hAnsi="Times New Roman" w:cs="Times New Roman"/>
          <w:noProof/>
          <w:sz w:val="28"/>
          <w:szCs w:val="28"/>
          <w:lang w:eastAsia="tr-TR"/>
        </w:rPr>
        <w:lastRenderedPageBreak/>
        <mc:AlternateContent>
          <mc:Choice Requires="wps">
            <w:drawing>
              <wp:anchor distT="0" distB="0" distL="114300" distR="114300" simplePos="0" relativeHeight="251661312" behindDoc="0" locked="0" layoutInCell="0" allowOverlap="1" wp14:anchorId="53B02EBB" wp14:editId="28FD9C11">
                <wp:simplePos x="0" y="0"/>
                <wp:positionH relativeFrom="column">
                  <wp:posOffset>19050</wp:posOffset>
                </wp:positionH>
                <wp:positionV relativeFrom="paragraph">
                  <wp:posOffset>26035</wp:posOffset>
                </wp:positionV>
                <wp:extent cx="5943600" cy="635"/>
                <wp:effectExtent l="0" t="0" r="0" b="0"/>
                <wp:wrapNone/>
                <wp:docPr id="133404708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5AD5D"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" o:allowincell="f" strokecolor="#d4d4d4" strokeweight="1.75pt">
                <v:shadow on="t" offset="0,-1pt"/>
              </v:line>
            </w:pict>
          </mc:Fallback>
        </mc:AlternateContent>
      </w:r>
      <w:r w:rsidRPr="00023F62">
        <w:rPr>
          <w:rStyle w:val="Gl"/>
          <w:rFonts w:ascii="Times New Roman" w:hAnsi="Times New Roman" w:cs="Times New Roman"/>
          <w:sz w:val="28"/>
          <w:szCs w:val="28"/>
          <w:lang w:val="en-GB"/>
        </w:rPr>
        <w:t>PROVISIONAL TIMETABLE</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 xml:space="preserve">14. </w:t>
      </w:r>
      <w:r w:rsidRPr="00C36FF7">
        <w:rPr>
          <w:rStyle w:val="Gl"/>
          <w:rFonts w:ascii="Times New Roman" w:hAnsi="Times New Roman" w:cs="Times New Roman"/>
          <w:lang w:val="en-GB"/>
        </w:rPr>
        <w:tab/>
        <w:t>Provisional commencement date of the contract</w:t>
      </w:r>
    </w:p>
    <w:p w:rsidR="00ED1D2A" w:rsidRPr="00C36FF7" w:rsidRDefault="00ED1D2A" w:rsidP="00ED1D2A">
      <w:pPr>
        <w:pStyle w:val="Blockquote"/>
        <w:jc w:val="both"/>
        <w:rPr>
          <w:i/>
          <w:sz w:val="22"/>
          <w:szCs w:val="22"/>
          <w:lang w:val="en-GB"/>
        </w:rPr>
      </w:pPr>
      <w:r w:rsidRPr="00C36FF7">
        <w:rPr>
          <w:rStyle w:val="Vurgu"/>
          <w:i w:val="0"/>
          <w:sz w:val="22"/>
          <w:szCs w:val="22"/>
          <w:lang w:val="en-GB"/>
        </w:rPr>
        <w:t xml:space="preserve"> 03.02.2025 </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 xml:space="preserve">15. </w:t>
      </w:r>
      <w:r w:rsidRPr="00C36FF7">
        <w:rPr>
          <w:rStyle w:val="Gl"/>
          <w:rFonts w:ascii="Times New Roman" w:hAnsi="Times New Roman" w:cs="Times New Roman"/>
          <w:lang w:val="en-GB"/>
        </w:rPr>
        <w:tab/>
        <w:t xml:space="preserve">Implementation period of the tasks </w:t>
      </w:r>
    </w:p>
    <w:p w:rsidR="00ED1D2A" w:rsidRPr="00C36FF7" w:rsidRDefault="00ED1D2A" w:rsidP="00ED1D2A">
      <w:pPr>
        <w:pStyle w:val="Blockquote"/>
        <w:jc w:val="both"/>
        <w:rPr>
          <w:i/>
          <w:sz w:val="22"/>
          <w:szCs w:val="22"/>
          <w:lang w:val="en-GB"/>
        </w:rPr>
      </w:pPr>
      <w:r w:rsidRPr="00C36FF7">
        <w:rPr>
          <w:rStyle w:val="Vurgu"/>
          <w:i w:val="0"/>
          <w:sz w:val="22"/>
          <w:szCs w:val="22"/>
          <w:lang w:val="en-GB"/>
        </w:rPr>
        <w:t>1 month (30 days) after the signature of the contract.</w:t>
      </w:r>
    </w:p>
    <w:p w:rsidR="00ED1D2A" w:rsidRPr="00C36FF7" w:rsidRDefault="00ED1D2A" w:rsidP="00ED1D2A">
      <w:pPr>
        <w:rPr>
          <w:rFonts w:ascii="Times New Roman" w:hAnsi="Times New Roman" w:cs="Times New Roman"/>
          <w:lang w:val="en-GB"/>
        </w:rPr>
      </w:pPr>
      <w:r w:rsidRPr="00C36FF7">
        <w:rPr>
          <w:rFonts w:ascii="Times New Roman" w:hAnsi="Times New Roman" w:cs="Times New Roman"/>
          <w:noProof/>
          <w:lang w:eastAsia="tr-TR"/>
        </w:rPr>
        <mc:AlternateContent>
          <mc:Choice Requires="wps">
            <w:drawing>
              <wp:anchor distT="0" distB="0" distL="114300" distR="114300" simplePos="0" relativeHeight="251662336" behindDoc="0" locked="0" layoutInCell="0" allowOverlap="1" wp14:anchorId="245913BD" wp14:editId="08571227">
                <wp:simplePos x="0" y="0"/>
                <wp:positionH relativeFrom="column">
                  <wp:posOffset>0</wp:posOffset>
                </wp:positionH>
                <wp:positionV relativeFrom="paragraph">
                  <wp:posOffset>152400</wp:posOffset>
                </wp:positionV>
                <wp:extent cx="5943600" cy="635"/>
                <wp:effectExtent l="0" t="0" r="0" b="0"/>
                <wp:wrapNone/>
                <wp:docPr id="15359700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0CBD9"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" o:allowincell="f" strokecolor="#d4d4d4" strokeweight="1.75pt">
                <v:shadow on="t" offset="0,-1pt"/>
              </v:line>
            </w:pict>
          </mc:Fallback>
        </mc:AlternateContent>
      </w:r>
    </w:p>
    <w:p w:rsidR="00ED1D2A" w:rsidRPr="00023F62" w:rsidRDefault="00ED1D2A" w:rsidP="00ED1D2A">
      <w:pPr>
        <w:jc w:val="center"/>
        <w:rPr>
          <w:rFonts w:ascii="Times New Roman" w:hAnsi="Times New Roman" w:cs="Times New Roman"/>
          <w:sz w:val="28"/>
          <w:szCs w:val="28"/>
          <w:lang w:val="en-GB"/>
        </w:rPr>
      </w:pPr>
      <w:r w:rsidRPr="00023F62">
        <w:rPr>
          <w:rStyle w:val="Gl"/>
          <w:rFonts w:ascii="Times New Roman" w:hAnsi="Times New Roman" w:cs="Times New Roman"/>
          <w:sz w:val="28"/>
          <w:szCs w:val="28"/>
          <w:lang w:val="en-GB"/>
        </w:rPr>
        <w:t>SELECTION AND AWARD CRITERIA</w:t>
      </w:r>
    </w:p>
    <w:p w:rsidR="00ED1D2A" w:rsidRPr="00C36FF7" w:rsidRDefault="00ED1D2A" w:rsidP="00ED1D2A">
      <w:pPr>
        <w:ind w:left="709" w:hanging="349"/>
        <w:outlineLvl w:val="0"/>
        <w:rPr>
          <w:rStyle w:val="Gl"/>
          <w:rFonts w:ascii="Times New Roman" w:hAnsi="Times New Roman" w:cs="Times New Roman"/>
          <w:lang w:val="en-GB"/>
        </w:rPr>
      </w:pPr>
      <w:r w:rsidRPr="00C36FF7">
        <w:rPr>
          <w:rStyle w:val="Gl"/>
          <w:rFonts w:ascii="Times New Roman" w:hAnsi="Times New Roman" w:cs="Times New Roman"/>
          <w:lang w:val="en-GB"/>
        </w:rPr>
        <w:t xml:space="preserve">16. </w:t>
      </w:r>
      <w:r w:rsidRPr="00C36FF7">
        <w:rPr>
          <w:rStyle w:val="Gl"/>
          <w:rFonts w:ascii="Times New Roman" w:hAnsi="Times New Roman" w:cs="Times New Roman"/>
          <w:lang w:val="en-GB"/>
        </w:rPr>
        <w:tab/>
        <w:t>Selection criteria</w:t>
      </w:r>
    </w:p>
    <w:p w:rsidR="00ED1D2A" w:rsidRPr="00C36FF7" w:rsidRDefault="00ED1D2A" w:rsidP="00ED1D2A">
      <w:pPr>
        <w:spacing w:before="240" w:after="0"/>
        <w:ind w:left="426"/>
        <w:jc w:val="both"/>
        <w:rPr>
          <w:rFonts w:ascii="Times New Roman" w:hAnsi="Times New Roman" w:cs="Times New Roman"/>
          <w:u w:val="single"/>
          <w:lang w:val="en-GB"/>
        </w:rPr>
      </w:pPr>
      <w:r w:rsidRPr="00C36FF7">
        <w:rPr>
          <w:rFonts w:ascii="Times New Roman" w:hAnsi="Times New Roman" w:cs="Times New Roman"/>
          <w:u w:val="single"/>
          <w:lang w:val="en-GB"/>
        </w:rPr>
        <w:t>Capacity-providing entities</w:t>
      </w:r>
    </w:p>
    <w:p w:rsidR="00ED1D2A" w:rsidRPr="00C36FF7" w:rsidRDefault="00ED1D2A" w:rsidP="00ED1D2A">
      <w:pPr>
        <w:spacing w:before="240" w:after="0"/>
        <w:ind w:left="426"/>
        <w:jc w:val="both"/>
        <w:rPr>
          <w:rFonts w:ascii="Times New Roman" w:hAnsi="Times New Roman" w:cs="Times New Roman"/>
          <w:lang w:val="en-GB"/>
        </w:rPr>
      </w:pPr>
      <w:r w:rsidRPr="00C36FF7">
        <w:rPr>
          <w:rFonts w:ascii="Times New Roman" w:hAnsi="Times New Roman" w:cs="Times New Roman"/>
          <w:lang w:val="en-GB"/>
        </w:rPr>
        <w:t xml:space="preserve">An economic operator (i.e., candidate or tenderer) may, where appropriate and for a particular contract, rely on the capacities of other entities, regardless of the legal nature of the links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as the economic operator relying on them and must comply with the selection criteria for which the economic operator relies on them. </w:t>
      </w:r>
      <w:r w:rsidRPr="00C36FF7">
        <w:rPr>
          <w:rFonts w:ascii="Times New Roman" w:hAnsi="Times New Roman" w:cs="Times New Roman"/>
          <w:b/>
          <w:lang w:val="en-GB"/>
        </w:rPr>
        <w:t>Furthermore, the data for this third entity for the relevant selection criterion should be included in a separate document</w:t>
      </w:r>
      <w:r w:rsidRPr="00C36FF7">
        <w:rPr>
          <w:rFonts w:ascii="Times New Roman" w:hAnsi="Times New Roman" w:cs="Times New Roman"/>
          <w:lang w:val="en-GB"/>
        </w:rPr>
        <w:t xml:space="preserve">. Proof of the capacity will also have to </w:t>
      </w:r>
      <w:proofErr w:type="gramStart"/>
      <w:r w:rsidRPr="00C36FF7">
        <w:rPr>
          <w:rFonts w:ascii="Times New Roman" w:hAnsi="Times New Roman" w:cs="Times New Roman"/>
          <w:lang w:val="en-GB"/>
        </w:rPr>
        <w:t>be provided</w:t>
      </w:r>
      <w:proofErr w:type="gramEnd"/>
      <w:r w:rsidRPr="00C36FF7">
        <w:rPr>
          <w:rFonts w:ascii="Times New Roman" w:hAnsi="Times New Roman" w:cs="Times New Roman"/>
          <w:lang w:val="en-GB"/>
        </w:rPr>
        <w:t xml:space="preserve"> when requested by the contracting authority.</w:t>
      </w:r>
    </w:p>
    <w:p w:rsidR="00ED1D2A" w:rsidRPr="00C36FF7" w:rsidRDefault="00ED1D2A" w:rsidP="00ED1D2A">
      <w:pPr>
        <w:spacing w:before="240" w:after="0"/>
        <w:ind w:left="426"/>
        <w:jc w:val="both"/>
        <w:rPr>
          <w:rFonts w:ascii="Times New Roman" w:hAnsi="Times New Roman" w:cs="Times New Roman"/>
          <w:lang w:val="en-GB"/>
        </w:rPr>
      </w:pPr>
      <w:r w:rsidRPr="00C36FF7">
        <w:rPr>
          <w:rFonts w:ascii="Times New Roman" w:hAnsi="Times New Roman" w:cs="Times New Roman"/>
          <w:lang w:val="en-GB"/>
        </w:rPr>
        <w:t xml:space="preserve">With regard to technical and professional criteria, an economic operator may only rely on the capacities of other entities where the latter will perform the tasks for which these capacities are required. </w:t>
      </w:r>
    </w:p>
    <w:p w:rsidR="00ED1D2A" w:rsidRPr="00C36FF7" w:rsidRDefault="00ED1D2A" w:rsidP="00ED1D2A">
      <w:pPr>
        <w:spacing w:before="240" w:after="0"/>
        <w:ind w:left="426"/>
        <w:jc w:val="both"/>
        <w:rPr>
          <w:rFonts w:ascii="Times New Roman" w:hAnsi="Times New Roman" w:cs="Times New Roman"/>
          <w:highlight w:val="yellow"/>
          <w:lang w:val="en-GB"/>
        </w:rPr>
      </w:pPr>
      <w:r w:rsidRPr="00C36FF7">
        <w:rPr>
          <w:rFonts w:ascii="Times New Roman" w:hAnsi="Times New Roman" w:cs="Times New Roman"/>
          <w:lang w:val="en-GB"/>
        </w:rPr>
        <w:t xml:space="preserve">With regard to economic and financial criteria, the entities upon whose capacity the economic operator </w:t>
      </w:r>
      <w:proofErr w:type="gramStart"/>
      <w:r w:rsidRPr="00C36FF7">
        <w:rPr>
          <w:rFonts w:ascii="Times New Roman" w:hAnsi="Times New Roman" w:cs="Times New Roman"/>
          <w:lang w:val="en-GB"/>
        </w:rPr>
        <w:t>relies,</w:t>
      </w:r>
      <w:proofErr w:type="gramEnd"/>
      <w:r w:rsidRPr="00C36FF7">
        <w:rPr>
          <w:rFonts w:ascii="Times New Roman" w:hAnsi="Times New Roman" w:cs="Times New Roman"/>
          <w:lang w:val="en-GB"/>
        </w:rPr>
        <w:t xml:space="preserve"> become jointly and severally liable for the performance of the contract.</w:t>
      </w:r>
    </w:p>
    <w:p w:rsidR="00ED1D2A" w:rsidRPr="00C36FF7" w:rsidRDefault="00ED1D2A" w:rsidP="00ED1D2A">
      <w:pPr>
        <w:pStyle w:val="Blockquote"/>
        <w:jc w:val="both"/>
        <w:rPr>
          <w:sz w:val="22"/>
          <w:szCs w:val="22"/>
          <w:lang w:val="en-GB"/>
        </w:rPr>
      </w:pPr>
      <w:r w:rsidRPr="00C36FF7">
        <w:rPr>
          <w:sz w:val="22"/>
          <w:szCs w:val="22"/>
          <w:lang w:val="en-GB"/>
        </w:rPr>
        <w:t xml:space="preserve">The following selection criteria </w:t>
      </w:r>
      <w:proofErr w:type="gramStart"/>
      <w:r w:rsidRPr="00C36FF7">
        <w:rPr>
          <w:sz w:val="22"/>
          <w:szCs w:val="22"/>
          <w:lang w:val="en-GB"/>
        </w:rPr>
        <w:t>will be applied</w:t>
      </w:r>
      <w:proofErr w:type="gramEnd"/>
      <w:r w:rsidRPr="00C36FF7">
        <w:rPr>
          <w:sz w:val="22"/>
          <w:szCs w:val="22"/>
          <w:lang w:val="en-GB"/>
        </w:rPr>
        <w:t xml:space="preserve"> to the tenderers. In the case of tenders submitted by a consortium, these selection criteria </w:t>
      </w:r>
      <w:proofErr w:type="gramStart"/>
      <w:r w:rsidRPr="00C36FF7">
        <w:rPr>
          <w:sz w:val="22"/>
          <w:szCs w:val="22"/>
          <w:lang w:val="en-GB"/>
        </w:rPr>
        <w:t>will be applied</w:t>
      </w:r>
      <w:proofErr w:type="gramEnd"/>
      <w:r w:rsidRPr="00C36FF7">
        <w:rPr>
          <w:sz w:val="22"/>
          <w:szCs w:val="22"/>
          <w:lang w:val="en-GB"/>
        </w:rPr>
        <w:t xml:space="preserve"> to the consortium as a whole if not specified otherwise. The selection criteria </w:t>
      </w:r>
      <w:proofErr w:type="gramStart"/>
      <w:r w:rsidRPr="00C36FF7">
        <w:rPr>
          <w:sz w:val="22"/>
          <w:szCs w:val="22"/>
          <w:lang w:val="en-GB"/>
        </w:rPr>
        <w:t>will not be applied</w:t>
      </w:r>
      <w:proofErr w:type="gramEnd"/>
      <w:r w:rsidRPr="00C36FF7">
        <w:rPr>
          <w:sz w:val="22"/>
          <w:szCs w:val="22"/>
          <w:lang w:val="en-GB"/>
        </w:rPr>
        <w:t xml:space="preserve"> to natural persons and single-member companies when they are sub-contractors.</w:t>
      </w:r>
    </w:p>
    <w:p w:rsidR="00ED1D2A" w:rsidRPr="00C36FF7" w:rsidRDefault="00ED1D2A" w:rsidP="00ED1D2A">
      <w:pPr>
        <w:pStyle w:val="Blockquote"/>
        <w:numPr>
          <w:ilvl w:val="0"/>
          <w:numId w:val="11"/>
        </w:numPr>
        <w:ind w:right="357"/>
        <w:jc w:val="both"/>
        <w:rPr>
          <w:sz w:val="22"/>
          <w:szCs w:val="22"/>
          <w:lang w:val="en-GB"/>
        </w:rPr>
      </w:pPr>
      <w:r w:rsidRPr="00C36FF7">
        <w:rPr>
          <w:b/>
          <w:sz w:val="22"/>
          <w:szCs w:val="22"/>
          <w:u w:val="single"/>
          <w:lang w:val="en-GB"/>
        </w:rPr>
        <w:t>Economic and financial capacity of the tenderer</w:t>
      </w:r>
      <w:r w:rsidRPr="00C36FF7">
        <w:rPr>
          <w:b/>
          <w:sz w:val="22"/>
          <w:szCs w:val="22"/>
          <w:lang w:val="en-GB"/>
        </w:rPr>
        <w:t xml:space="preserve"> (</w:t>
      </w:r>
      <w:r w:rsidRPr="00C36FF7">
        <w:rPr>
          <w:sz w:val="22"/>
          <w:szCs w:val="22"/>
          <w:lang w:val="en-GB"/>
        </w:rPr>
        <w:t xml:space="preserve">based on item 3 of the tender form). In case of tenderer being a public body, equivalent information </w:t>
      </w:r>
      <w:proofErr w:type="gramStart"/>
      <w:r w:rsidRPr="00C36FF7">
        <w:rPr>
          <w:sz w:val="22"/>
          <w:szCs w:val="22"/>
          <w:lang w:val="en-GB"/>
        </w:rPr>
        <w:t>should be provided</w:t>
      </w:r>
      <w:proofErr w:type="gramEnd"/>
      <w:r w:rsidRPr="00C36FF7">
        <w:rPr>
          <w:sz w:val="22"/>
          <w:szCs w:val="22"/>
          <w:lang w:val="en-GB"/>
        </w:rPr>
        <w:t xml:space="preserve">. The reference </w:t>
      </w:r>
      <w:proofErr w:type="gramStart"/>
      <w:r w:rsidRPr="00C36FF7">
        <w:rPr>
          <w:sz w:val="22"/>
          <w:szCs w:val="22"/>
          <w:lang w:val="en-GB"/>
        </w:rPr>
        <w:t>period which will be taken into account</w:t>
      </w:r>
      <w:proofErr w:type="gramEnd"/>
      <w:r w:rsidRPr="00C36FF7">
        <w:rPr>
          <w:sz w:val="22"/>
          <w:szCs w:val="22"/>
          <w:lang w:val="en-GB"/>
        </w:rPr>
        <w:t xml:space="preserve"> will be the last three financial years for which accounts have been closed.</w:t>
      </w:r>
    </w:p>
    <w:p w:rsidR="00ED1D2A" w:rsidRPr="00C36FF7" w:rsidRDefault="00ED1D2A" w:rsidP="00ED1D2A">
      <w:pPr>
        <w:pStyle w:val="Blockquote"/>
        <w:ind w:left="357" w:right="357"/>
        <w:jc w:val="both"/>
        <w:rPr>
          <w:sz w:val="22"/>
          <w:szCs w:val="22"/>
        </w:rPr>
      </w:pPr>
      <w:r w:rsidRPr="00C36FF7">
        <w:rPr>
          <w:sz w:val="22"/>
          <w:szCs w:val="22"/>
        </w:rPr>
        <w:t xml:space="preserve">The selection criteria for each tenderer are as follows: </w:t>
      </w:r>
    </w:p>
    <w:p w:rsidR="00ED1D2A" w:rsidRPr="00C36FF7" w:rsidRDefault="00ED1D2A" w:rsidP="00ED1D2A">
      <w:pPr>
        <w:pStyle w:val="Blockquote"/>
        <w:ind w:left="357" w:right="357"/>
        <w:jc w:val="both"/>
        <w:rPr>
          <w:sz w:val="22"/>
          <w:szCs w:val="22"/>
        </w:rPr>
      </w:pPr>
      <w:r w:rsidRPr="00C36FF7">
        <w:rPr>
          <w:sz w:val="22"/>
          <w:szCs w:val="22"/>
        </w:rPr>
        <w:t xml:space="preserve">The economic and financial capacity for tenderers to each lot </w:t>
      </w:r>
      <w:r w:rsidRPr="00C36FF7">
        <w:rPr>
          <w:b/>
          <w:bCs/>
          <w:sz w:val="22"/>
          <w:szCs w:val="22"/>
        </w:rPr>
        <w:t>“separately</w:t>
      </w:r>
      <w:r w:rsidRPr="00C36FF7">
        <w:rPr>
          <w:sz w:val="22"/>
          <w:szCs w:val="22"/>
        </w:rPr>
        <w:t>” are as follows:</w:t>
      </w:r>
    </w:p>
    <w:p w:rsidR="00ED1D2A" w:rsidRPr="00C36FF7" w:rsidRDefault="00ED1D2A" w:rsidP="00ED1D2A">
      <w:pPr>
        <w:pStyle w:val="Blockquote"/>
        <w:numPr>
          <w:ilvl w:val="0"/>
          <w:numId w:val="9"/>
        </w:numPr>
        <w:tabs>
          <w:tab w:val="clear" w:pos="360"/>
          <w:tab w:val="num" w:pos="720"/>
        </w:tabs>
        <w:ind w:left="720"/>
        <w:jc w:val="both"/>
        <w:rPr>
          <w:sz w:val="22"/>
          <w:szCs w:val="22"/>
          <w:lang w:val="en-GB"/>
        </w:rPr>
      </w:pPr>
      <w:r w:rsidRPr="00C36FF7">
        <w:rPr>
          <w:sz w:val="22"/>
          <w:szCs w:val="22"/>
          <w:lang w:val="en-GB"/>
        </w:rPr>
        <w:lastRenderedPageBreak/>
        <w:t>the average annual turnover of the tenderer must exceed the annualised maximum budget of the contract i.e. the maximum budget stated in the contract notice divided by the initial contract duration in years, where this exceeds 1 year (minimum annual turnover requested may not exceed 2 times the estimated annual contract value, except in duly justified cases motivated in the tender dossier); and</w:t>
      </w:r>
    </w:p>
    <w:p w:rsidR="00ED1D2A" w:rsidRPr="00C36FF7" w:rsidRDefault="00ED1D2A" w:rsidP="00ED1D2A">
      <w:pPr>
        <w:pStyle w:val="Blockquote"/>
        <w:numPr>
          <w:ilvl w:val="0"/>
          <w:numId w:val="9"/>
        </w:numPr>
        <w:tabs>
          <w:tab w:val="clear" w:pos="360"/>
          <w:tab w:val="num" w:pos="720"/>
        </w:tabs>
        <w:ind w:left="720"/>
        <w:jc w:val="both"/>
        <w:rPr>
          <w:sz w:val="22"/>
          <w:szCs w:val="22"/>
          <w:lang w:val="en-GB"/>
        </w:rPr>
      </w:pPr>
      <w:r w:rsidRPr="00C36FF7">
        <w:rPr>
          <w:sz w:val="22"/>
          <w:szCs w:val="22"/>
          <w:lang w:val="en-GB"/>
        </w:rPr>
        <w:t xml:space="preserve">Current ratio (current assets/current liabilities) for the average of last 3 years for which accounts have been closed must be at least </w:t>
      </w:r>
      <w:proofErr w:type="gramStart"/>
      <w:r w:rsidRPr="00C36FF7">
        <w:rPr>
          <w:sz w:val="22"/>
          <w:szCs w:val="22"/>
          <w:lang w:val="en-GB"/>
        </w:rPr>
        <w:t>1</w:t>
      </w:r>
      <w:proofErr w:type="gramEnd"/>
      <w:r w:rsidRPr="00C36FF7">
        <w:rPr>
          <w:sz w:val="22"/>
          <w:szCs w:val="22"/>
          <w:lang w:val="en-GB"/>
        </w:rPr>
        <w:t xml:space="preserve">. In case of a consortium, </w:t>
      </w:r>
      <w:proofErr w:type="gramStart"/>
      <w:r w:rsidRPr="00C36FF7">
        <w:rPr>
          <w:sz w:val="22"/>
          <w:szCs w:val="22"/>
          <w:lang w:val="en-GB"/>
        </w:rPr>
        <w:t>this criterion must be fulfilled by each member</w:t>
      </w:r>
      <w:proofErr w:type="gramEnd"/>
      <w:r w:rsidRPr="00C36FF7">
        <w:rPr>
          <w:sz w:val="22"/>
          <w:szCs w:val="22"/>
          <w:lang w:val="en-GB"/>
        </w:rPr>
        <w:t>.</w:t>
      </w:r>
    </w:p>
    <w:p w:rsidR="00ED1D2A" w:rsidRPr="00C36FF7" w:rsidRDefault="00ED1D2A" w:rsidP="00ED1D2A">
      <w:pPr>
        <w:pStyle w:val="Blockquote"/>
        <w:numPr>
          <w:ilvl w:val="0"/>
          <w:numId w:val="11"/>
        </w:numPr>
        <w:ind w:right="357"/>
        <w:jc w:val="both"/>
        <w:rPr>
          <w:sz w:val="22"/>
          <w:szCs w:val="22"/>
          <w:lang w:val="en-GB"/>
        </w:rPr>
      </w:pPr>
      <w:r w:rsidRPr="00C36FF7">
        <w:rPr>
          <w:b/>
          <w:sz w:val="22"/>
          <w:szCs w:val="22"/>
          <w:u w:val="single"/>
          <w:lang w:val="en-GB"/>
        </w:rPr>
        <w:t>Professional capacity of the tenderer (</w:t>
      </w:r>
      <w:r w:rsidRPr="00C36FF7">
        <w:rPr>
          <w:sz w:val="22"/>
          <w:szCs w:val="22"/>
          <w:lang w:val="en-GB"/>
        </w:rPr>
        <w:t>based on items 4 of the tender form).</w:t>
      </w:r>
    </w:p>
    <w:p w:rsidR="00ED1D2A" w:rsidRPr="00C36FF7" w:rsidRDefault="00ED1D2A" w:rsidP="00ED1D2A">
      <w:pPr>
        <w:pStyle w:val="Blockquote"/>
        <w:ind w:left="357" w:right="357"/>
        <w:jc w:val="both"/>
        <w:rPr>
          <w:sz w:val="22"/>
          <w:szCs w:val="22"/>
          <w:lang w:val="en-GB"/>
        </w:rPr>
      </w:pPr>
      <w:r w:rsidRPr="00C36FF7">
        <w:rPr>
          <w:sz w:val="22"/>
          <w:szCs w:val="22"/>
        </w:rPr>
        <w:t xml:space="preserve">The professional capacity for tenderers to each lot </w:t>
      </w:r>
      <w:r w:rsidRPr="00C36FF7">
        <w:rPr>
          <w:b/>
          <w:bCs/>
          <w:sz w:val="22"/>
          <w:szCs w:val="22"/>
        </w:rPr>
        <w:t>“separately</w:t>
      </w:r>
      <w:r w:rsidRPr="00C36FF7">
        <w:rPr>
          <w:sz w:val="22"/>
          <w:szCs w:val="22"/>
        </w:rPr>
        <w:t>” are as follows</w:t>
      </w:r>
    </w:p>
    <w:p w:rsidR="00ED1D2A" w:rsidRPr="00C36FF7" w:rsidRDefault="00ED1D2A" w:rsidP="00ED1D2A">
      <w:pPr>
        <w:pStyle w:val="Blockquote"/>
        <w:ind w:right="357" w:hanging="3"/>
        <w:jc w:val="both"/>
        <w:rPr>
          <w:sz w:val="22"/>
          <w:szCs w:val="22"/>
          <w:lang w:val="en-GB"/>
        </w:rPr>
      </w:pPr>
      <w:r w:rsidRPr="00C36FF7">
        <w:rPr>
          <w:sz w:val="22"/>
          <w:szCs w:val="22"/>
          <w:lang w:val="en-GB"/>
        </w:rPr>
        <w:t xml:space="preserve">The reference </w:t>
      </w:r>
      <w:proofErr w:type="gramStart"/>
      <w:r w:rsidRPr="00C36FF7">
        <w:rPr>
          <w:sz w:val="22"/>
          <w:szCs w:val="22"/>
          <w:lang w:val="en-GB"/>
        </w:rPr>
        <w:t>period which will be taken into account</w:t>
      </w:r>
      <w:proofErr w:type="gramEnd"/>
      <w:r w:rsidRPr="00C36FF7">
        <w:rPr>
          <w:sz w:val="22"/>
          <w:szCs w:val="22"/>
          <w:lang w:val="en-GB"/>
        </w:rPr>
        <w:t xml:space="preserve"> will be the last three years preceding the submission deadline.</w:t>
      </w:r>
    </w:p>
    <w:p w:rsidR="00ED1D2A" w:rsidRPr="00C36FF7" w:rsidRDefault="00ED1D2A" w:rsidP="00ED1D2A">
      <w:pPr>
        <w:pStyle w:val="Blockquote"/>
        <w:numPr>
          <w:ilvl w:val="0"/>
          <w:numId w:val="8"/>
        </w:numPr>
        <w:tabs>
          <w:tab w:val="clear" w:pos="360"/>
          <w:tab w:val="num" w:pos="720"/>
        </w:tabs>
        <w:ind w:left="720"/>
        <w:jc w:val="both"/>
        <w:rPr>
          <w:sz w:val="22"/>
          <w:szCs w:val="22"/>
          <w:lang w:val="en-GB"/>
        </w:rPr>
      </w:pPr>
      <w:r w:rsidRPr="00C36FF7">
        <w:rPr>
          <w:sz w:val="22"/>
          <w:szCs w:val="22"/>
          <w:lang w:val="en-GB"/>
        </w:rPr>
        <w:t>has a professional certificate appropriate to this contract, such as;</w:t>
      </w:r>
      <w:r w:rsidRPr="00C36FF7">
        <w:rPr>
          <w:sz w:val="22"/>
          <w:szCs w:val="22"/>
        </w:rPr>
        <w:t xml:space="preserve"> </w:t>
      </w:r>
      <w:r w:rsidRPr="00C36FF7">
        <w:rPr>
          <w:sz w:val="22"/>
          <w:szCs w:val="22"/>
          <w:lang w:val="en-GB"/>
        </w:rPr>
        <w:t>the sale or distribution or maintenance &amp; servicing, etc., of the goods subject to the offer submitted LOT, and</w:t>
      </w:r>
    </w:p>
    <w:p w:rsidR="00ED1D2A" w:rsidRPr="00C36FF7" w:rsidRDefault="00ED1D2A" w:rsidP="00ED1D2A">
      <w:pPr>
        <w:pStyle w:val="Blockquote"/>
        <w:numPr>
          <w:ilvl w:val="0"/>
          <w:numId w:val="8"/>
        </w:numPr>
        <w:tabs>
          <w:tab w:val="clear" w:pos="360"/>
          <w:tab w:val="num" w:pos="720"/>
        </w:tabs>
        <w:ind w:left="720"/>
        <w:jc w:val="both"/>
        <w:rPr>
          <w:sz w:val="22"/>
          <w:szCs w:val="22"/>
          <w:lang w:val="en-GB"/>
        </w:rPr>
      </w:pPr>
      <w:r w:rsidRPr="00C36FF7">
        <w:rPr>
          <w:sz w:val="22"/>
          <w:szCs w:val="22"/>
          <w:lang w:val="en-GB"/>
        </w:rPr>
        <w:t>at least 1 staff currently work for the tenderer in fields related to this contract</w:t>
      </w:r>
    </w:p>
    <w:p w:rsidR="00ED1D2A" w:rsidRPr="00C36FF7" w:rsidRDefault="00ED1D2A" w:rsidP="00ED1D2A">
      <w:pPr>
        <w:pStyle w:val="Blockquote"/>
        <w:numPr>
          <w:ilvl w:val="0"/>
          <w:numId w:val="11"/>
        </w:numPr>
        <w:ind w:right="357"/>
        <w:jc w:val="both"/>
        <w:rPr>
          <w:sz w:val="22"/>
          <w:szCs w:val="22"/>
          <w:lang w:val="en-GB"/>
        </w:rPr>
      </w:pPr>
      <w:r w:rsidRPr="00C36FF7">
        <w:rPr>
          <w:b/>
          <w:sz w:val="22"/>
          <w:szCs w:val="22"/>
          <w:u w:val="single"/>
          <w:lang w:val="en-GB"/>
        </w:rPr>
        <w:t xml:space="preserve">Technical capacity of tenderer </w:t>
      </w:r>
      <w:r w:rsidRPr="00C36FF7">
        <w:rPr>
          <w:sz w:val="22"/>
          <w:szCs w:val="22"/>
          <w:lang w:val="en-GB"/>
        </w:rPr>
        <w:t xml:space="preserve">(based on items </w:t>
      </w:r>
      <w:proofErr w:type="gramStart"/>
      <w:r w:rsidRPr="00C36FF7">
        <w:rPr>
          <w:sz w:val="22"/>
          <w:szCs w:val="22"/>
          <w:lang w:val="en-GB"/>
        </w:rPr>
        <w:t>5</w:t>
      </w:r>
      <w:proofErr w:type="gramEnd"/>
      <w:r w:rsidRPr="00C36FF7">
        <w:rPr>
          <w:sz w:val="22"/>
          <w:szCs w:val="22"/>
          <w:lang w:val="en-GB"/>
        </w:rPr>
        <w:t xml:space="preserve"> and 6 of the tender form). The reference </w:t>
      </w:r>
      <w:proofErr w:type="gramStart"/>
      <w:r w:rsidRPr="00C36FF7">
        <w:rPr>
          <w:sz w:val="22"/>
          <w:szCs w:val="22"/>
          <w:lang w:val="en-GB"/>
        </w:rPr>
        <w:t>period which will be taken into account</w:t>
      </w:r>
      <w:proofErr w:type="gramEnd"/>
      <w:r w:rsidRPr="00C36FF7">
        <w:rPr>
          <w:sz w:val="22"/>
          <w:szCs w:val="22"/>
          <w:lang w:val="en-GB"/>
        </w:rPr>
        <w:t xml:space="preserve"> will be the last three years preceding the submission deadline.</w:t>
      </w:r>
    </w:p>
    <w:p w:rsidR="00ED1D2A" w:rsidRPr="00C36FF7" w:rsidRDefault="00ED1D2A" w:rsidP="00ED1D2A">
      <w:pPr>
        <w:pStyle w:val="Blockquote"/>
        <w:ind w:left="357" w:right="357"/>
        <w:jc w:val="both"/>
        <w:rPr>
          <w:sz w:val="22"/>
          <w:szCs w:val="22"/>
          <w:lang w:val="en-GB"/>
        </w:rPr>
      </w:pPr>
      <w:r w:rsidRPr="00C36FF7">
        <w:rPr>
          <w:sz w:val="22"/>
          <w:szCs w:val="22"/>
        </w:rPr>
        <w:t xml:space="preserve">The technical capacity for tenderers for each lot </w:t>
      </w:r>
      <w:r w:rsidRPr="00C36FF7">
        <w:rPr>
          <w:b/>
          <w:bCs/>
          <w:sz w:val="22"/>
          <w:szCs w:val="22"/>
        </w:rPr>
        <w:t>“separately</w:t>
      </w:r>
      <w:r w:rsidRPr="00C36FF7">
        <w:rPr>
          <w:sz w:val="22"/>
          <w:szCs w:val="22"/>
        </w:rPr>
        <w:t>” is as follows</w:t>
      </w:r>
    </w:p>
    <w:p w:rsidR="00ED1D2A" w:rsidRPr="00C36FF7" w:rsidRDefault="00ED1D2A" w:rsidP="00ED1D2A">
      <w:pPr>
        <w:pStyle w:val="Blockquote"/>
        <w:numPr>
          <w:ilvl w:val="0"/>
          <w:numId w:val="8"/>
        </w:numPr>
        <w:tabs>
          <w:tab w:val="clear" w:pos="360"/>
          <w:tab w:val="left" w:pos="709"/>
        </w:tabs>
        <w:ind w:left="709" w:hanging="283"/>
        <w:jc w:val="both"/>
        <w:rPr>
          <w:sz w:val="22"/>
          <w:szCs w:val="22"/>
          <w:lang w:val="en-GB"/>
        </w:rPr>
      </w:pPr>
      <w:proofErr w:type="gramStart"/>
      <w:r w:rsidRPr="00C36FF7">
        <w:rPr>
          <w:sz w:val="22"/>
          <w:szCs w:val="22"/>
          <w:lang w:val="en-GB"/>
        </w:rPr>
        <w:t>the</w:t>
      </w:r>
      <w:proofErr w:type="gramEnd"/>
      <w:r w:rsidRPr="00C36FF7">
        <w:rPr>
          <w:sz w:val="22"/>
          <w:szCs w:val="22"/>
          <w:lang w:val="en-GB"/>
        </w:rPr>
        <w:t xml:space="preserve"> tenderer has delivered supplies under at least multiple contracts with a budget of at least that of this contract in any lot (the LOT that the tenderer submits offer) which were implemented at any moment during the following period: 2021-2024.</w:t>
      </w:r>
    </w:p>
    <w:p w:rsidR="00ED1D2A" w:rsidRPr="00C36FF7" w:rsidRDefault="00ED1D2A" w:rsidP="00ED1D2A">
      <w:pPr>
        <w:pStyle w:val="Blockquote"/>
        <w:tabs>
          <w:tab w:val="left" w:pos="284"/>
        </w:tabs>
        <w:ind w:left="0"/>
        <w:jc w:val="both"/>
        <w:rPr>
          <w:sz w:val="22"/>
          <w:szCs w:val="22"/>
          <w:lang w:val="en-GB"/>
        </w:rPr>
      </w:pPr>
      <w:r w:rsidRPr="00C36FF7">
        <w:rPr>
          <w:sz w:val="22"/>
          <w:szCs w:val="22"/>
          <w:lang w:val="en-GB"/>
        </w:rPr>
        <w:t xml:space="preserve">This means that the contract the tenderer refers to </w:t>
      </w:r>
      <w:proofErr w:type="gramStart"/>
      <w:r w:rsidRPr="00C36FF7">
        <w:rPr>
          <w:sz w:val="22"/>
          <w:szCs w:val="22"/>
          <w:lang w:val="en-GB"/>
        </w:rPr>
        <w:t>could have been started</w:t>
      </w:r>
      <w:proofErr w:type="gramEnd"/>
      <w:r w:rsidRPr="00C36FF7">
        <w:rPr>
          <w:sz w:val="22"/>
          <w:szCs w:val="22"/>
          <w:lang w:val="en-GB"/>
        </w:rPr>
        <w:t xml:space="preserve"> at any time during the indicated period but it does not necessarily have to be completed during that period, nor implemented during the entire period. Tenderers </w:t>
      </w:r>
      <w:proofErr w:type="gramStart"/>
      <w:r w:rsidRPr="00C36FF7">
        <w:rPr>
          <w:sz w:val="22"/>
          <w:szCs w:val="22"/>
          <w:lang w:val="en-GB"/>
        </w:rPr>
        <w:t>are allowed</w:t>
      </w:r>
      <w:proofErr w:type="gramEnd"/>
      <w:r w:rsidRPr="00C36FF7">
        <w:rPr>
          <w:sz w:val="22"/>
          <w:szCs w:val="22"/>
          <w:lang w:val="en-GB"/>
        </w:rPr>
        <w:t xml:space="preserve"> to refer either to supply contracts completed within the reference period (although started earlier) or to supply contracts not yet completed. Only the portion satisfactorily completed during the reference period </w:t>
      </w:r>
      <w:proofErr w:type="gramStart"/>
      <w:r w:rsidRPr="00C36FF7">
        <w:rPr>
          <w:sz w:val="22"/>
          <w:szCs w:val="22"/>
          <w:lang w:val="en-GB"/>
        </w:rPr>
        <w:t>will be taken</w:t>
      </w:r>
      <w:proofErr w:type="gramEnd"/>
      <w:r w:rsidRPr="00C36FF7">
        <w:rPr>
          <w:sz w:val="22"/>
          <w:szCs w:val="22"/>
          <w:lang w:val="en-GB"/>
        </w:rPr>
        <w:t xml:space="preserve"> into consideration. This portion will have to be supported by documentary evidence (statement or certificate from the entity which awarded the contract, proof of payment) also detailing its value. If a tenderer has implemented the supply contract in a consortium, the percentage that the tenderer has successfully completed must be clear from the documentary evidence, together with a description of the nature of the supplies provided if the selection criteria relating to the pertinence of the experience </w:t>
      </w:r>
      <w:proofErr w:type="gramStart"/>
      <w:r w:rsidRPr="00C36FF7">
        <w:rPr>
          <w:sz w:val="22"/>
          <w:szCs w:val="22"/>
          <w:lang w:val="en-GB"/>
        </w:rPr>
        <w:t>have been used</w:t>
      </w:r>
      <w:proofErr w:type="gramEnd"/>
      <w:r w:rsidRPr="00C36FF7">
        <w:rPr>
          <w:sz w:val="22"/>
          <w:szCs w:val="22"/>
          <w:lang w:val="en-GB"/>
        </w:rPr>
        <w:t>.</w:t>
      </w:r>
    </w:p>
    <w:p w:rsidR="00ED1D2A" w:rsidRPr="00C36FF7" w:rsidRDefault="00ED1D2A" w:rsidP="00ED1D2A">
      <w:pPr>
        <w:pStyle w:val="Blockquote"/>
        <w:ind w:left="0"/>
        <w:jc w:val="both"/>
        <w:rPr>
          <w:sz w:val="22"/>
          <w:szCs w:val="22"/>
          <w:lang w:val="en-GB"/>
        </w:rPr>
      </w:pPr>
      <w:r w:rsidRPr="00C36FF7">
        <w:rPr>
          <w:sz w:val="22"/>
          <w:szCs w:val="22"/>
          <w:lang w:val="en-GB"/>
        </w:rPr>
        <w:t xml:space="preserve">Previous </w:t>
      </w:r>
      <w:proofErr w:type="gramStart"/>
      <w:r w:rsidRPr="00C36FF7">
        <w:rPr>
          <w:sz w:val="22"/>
          <w:szCs w:val="22"/>
          <w:lang w:val="en-GB"/>
        </w:rPr>
        <w:t>experience which would have led to breach of contract and termination by a contracting authority</w:t>
      </w:r>
      <w:proofErr w:type="gramEnd"/>
      <w:r w:rsidRPr="00C36FF7">
        <w:rPr>
          <w:sz w:val="22"/>
          <w:szCs w:val="22"/>
          <w:lang w:val="en-GB"/>
        </w:rPr>
        <w:t xml:space="preserve"> shall not be used as reference. This is also applicable concerning the previous experience of experts required under a fee-based service contract.</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 xml:space="preserve">17. </w:t>
      </w:r>
      <w:r w:rsidRPr="00C36FF7">
        <w:rPr>
          <w:rStyle w:val="Gl"/>
          <w:rFonts w:ascii="Times New Roman" w:hAnsi="Times New Roman" w:cs="Times New Roman"/>
          <w:lang w:val="en-GB"/>
        </w:rPr>
        <w:tab/>
        <w:t>Award criteria</w:t>
      </w:r>
    </w:p>
    <w:p w:rsidR="00ED1D2A" w:rsidRPr="00C36FF7" w:rsidRDefault="00ED1D2A" w:rsidP="00ED1D2A">
      <w:pPr>
        <w:pStyle w:val="Blockquote"/>
        <w:ind w:left="426" w:right="1"/>
        <w:jc w:val="both"/>
        <w:rPr>
          <w:sz w:val="22"/>
          <w:szCs w:val="22"/>
          <w:lang w:val="en-GB"/>
        </w:rPr>
      </w:pPr>
      <w:r w:rsidRPr="00C36FF7">
        <w:rPr>
          <w:sz w:val="22"/>
          <w:szCs w:val="22"/>
          <w:lang w:val="en-GB"/>
        </w:rPr>
        <w:t>The best price-quality ratio or lowest price.</w:t>
      </w:r>
    </w:p>
    <w:p w:rsidR="00ED1D2A" w:rsidRPr="00C36FF7" w:rsidRDefault="00ED1D2A" w:rsidP="00ED1D2A">
      <w:pPr>
        <w:rPr>
          <w:rFonts w:ascii="Times New Roman" w:hAnsi="Times New Roman" w:cs="Times New Roman"/>
          <w:lang w:val="en-GB"/>
        </w:rPr>
      </w:pPr>
      <w:r w:rsidRPr="00C36FF7">
        <w:rPr>
          <w:rFonts w:ascii="Times New Roman" w:hAnsi="Times New Roman" w:cs="Times New Roman"/>
          <w:noProof/>
          <w:lang w:eastAsia="tr-TR"/>
        </w:rPr>
        <mc:AlternateContent>
          <mc:Choice Requires="wps">
            <w:drawing>
              <wp:anchor distT="0" distB="0" distL="114300" distR="114300" simplePos="0" relativeHeight="251663360" behindDoc="0" locked="0" layoutInCell="0" allowOverlap="1" wp14:anchorId="0F602981" wp14:editId="7724EA57">
                <wp:simplePos x="0" y="0"/>
                <wp:positionH relativeFrom="column">
                  <wp:posOffset>0</wp:posOffset>
                </wp:positionH>
                <wp:positionV relativeFrom="paragraph">
                  <wp:posOffset>152400</wp:posOffset>
                </wp:positionV>
                <wp:extent cx="5943600" cy="635"/>
                <wp:effectExtent l="0" t="0" r="0" b="0"/>
                <wp:wrapNone/>
                <wp:docPr id="87452585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9CCC1"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" o:allowincell="f" strokecolor="#d4d4d4" strokeweight="1.75pt">
                <v:shadow on="t" offset="0,-1pt"/>
              </v:line>
            </w:pict>
          </mc:Fallback>
        </mc:AlternateContent>
      </w:r>
    </w:p>
    <w:p w:rsidR="00ED1D2A" w:rsidRPr="00C55EBA" w:rsidRDefault="00ED1D2A" w:rsidP="00ED1D2A">
      <w:pPr>
        <w:keepNext/>
        <w:jc w:val="center"/>
        <w:rPr>
          <w:rFonts w:ascii="Times New Roman" w:hAnsi="Times New Roman" w:cs="Times New Roman"/>
          <w:sz w:val="28"/>
          <w:szCs w:val="28"/>
          <w:lang w:val="en-GB"/>
        </w:rPr>
      </w:pPr>
      <w:bookmarkStart w:id="14" w:name="_GoBack"/>
      <w:r w:rsidRPr="00C55EBA">
        <w:rPr>
          <w:rStyle w:val="Gl"/>
          <w:rFonts w:ascii="Times New Roman" w:hAnsi="Times New Roman" w:cs="Times New Roman"/>
          <w:sz w:val="28"/>
          <w:szCs w:val="28"/>
          <w:lang w:val="en-GB"/>
        </w:rPr>
        <w:lastRenderedPageBreak/>
        <w:t>TENDERING</w:t>
      </w:r>
    </w:p>
    <w:bookmarkEnd w:id="14"/>
    <w:p w:rsidR="00ED1D2A" w:rsidRPr="00C36FF7" w:rsidRDefault="00ED1D2A" w:rsidP="00ED1D2A">
      <w:pPr>
        <w:keepNext/>
        <w:ind w:left="709" w:hanging="352"/>
        <w:outlineLvl w:val="0"/>
        <w:rPr>
          <w:rFonts w:ascii="Times New Roman" w:hAnsi="Times New Roman" w:cs="Times New Roman"/>
          <w:lang w:val="en-GB"/>
        </w:rPr>
      </w:pPr>
      <w:r w:rsidRPr="00C36FF7">
        <w:rPr>
          <w:rStyle w:val="Gl"/>
          <w:rFonts w:ascii="Times New Roman" w:hAnsi="Times New Roman" w:cs="Times New Roman"/>
          <w:lang w:val="en-GB"/>
        </w:rPr>
        <w:t xml:space="preserve">18. </w:t>
      </w:r>
      <w:r w:rsidRPr="00C36FF7">
        <w:rPr>
          <w:rStyle w:val="Gl"/>
          <w:rFonts w:ascii="Times New Roman" w:hAnsi="Times New Roman" w:cs="Times New Roman"/>
          <w:lang w:val="en-GB"/>
        </w:rPr>
        <w:tab/>
        <w:t>Deadline for submission of tenders</w:t>
      </w:r>
    </w:p>
    <w:p w:rsidR="00ED1D2A" w:rsidRPr="00C36FF7" w:rsidRDefault="00ED1D2A" w:rsidP="00ED1D2A">
      <w:pPr>
        <w:pStyle w:val="Blockquote"/>
        <w:jc w:val="both"/>
        <w:rPr>
          <w:i/>
          <w:sz w:val="22"/>
          <w:szCs w:val="22"/>
          <w:lang w:val="en-GB"/>
        </w:rPr>
      </w:pPr>
      <w:r w:rsidRPr="00C36FF7">
        <w:rPr>
          <w:rStyle w:val="Vurgu"/>
          <w:i w:val="0"/>
          <w:sz w:val="22"/>
          <w:szCs w:val="22"/>
          <w:lang w:val="en-GB"/>
        </w:rPr>
        <w:t>The deadline for submission of tenders is 20.01.2025 at 17:00.</w:t>
      </w:r>
      <w:r w:rsidRPr="00C36FF7" w:rsidDel="00994EA3">
        <w:rPr>
          <w:rStyle w:val="Vurgu"/>
          <w:i w:val="0"/>
          <w:sz w:val="22"/>
          <w:szCs w:val="22"/>
          <w:highlight w:val="yellow"/>
          <w:lang w:val="en-GB"/>
        </w:rPr>
        <w:t xml:space="preserve">    </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 xml:space="preserve">19. </w:t>
      </w:r>
      <w:r w:rsidRPr="00C36FF7">
        <w:rPr>
          <w:rStyle w:val="Gl"/>
          <w:rFonts w:ascii="Times New Roman" w:hAnsi="Times New Roman" w:cs="Times New Roman"/>
          <w:lang w:val="en-GB"/>
        </w:rPr>
        <w:tab/>
        <w:t xml:space="preserve">Tender format and details to </w:t>
      </w:r>
      <w:proofErr w:type="gramStart"/>
      <w:r w:rsidRPr="00C36FF7">
        <w:rPr>
          <w:rStyle w:val="Gl"/>
          <w:rFonts w:ascii="Times New Roman" w:hAnsi="Times New Roman" w:cs="Times New Roman"/>
          <w:lang w:val="en-GB"/>
        </w:rPr>
        <w:t>be provided</w:t>
      </w:r>
      <w:proofErr w:type="gramEnd"/>
    </w:p>
    <w:p w:rsidR="00ED1D2A" w:rsidRPr="00C36FF7" w:rsidRDefault="00ED1D2A" w:rsidP="00ED1D2A">
      <w:pPr>
        <w:pStyle w:val="Blockquote"/>
        <w:jc w:val="both"/>
        <w:rPr>
          <w:sz w:val="22"/>
          <w:szCs w:val="22"/>
          <w:lang w:val="en-GB"/>
        </w:rPr>
      </w:pPr>
      <w:r w:rsidRPr="00C36FF7">
        <w:rPr>
          <w:rStyle w:val="Gl"/>
          <w:sz w:val="22"/>
          <w:szCs w:val="22"/>
          <w:lang w:val="en-GB"/>
        </w:rPr>
        <w:t xml:space="preserve">Tenders </w:t>
      </w:r>
      <w:proofErr w:type="gramStart"/>
      <w:r w:rsidRPr="00C36FF7">
        <w:rPr>
          <w:rStyle w:val="Gl"/>
          <w:sz w:val="22"/>
          <w:szCs w:val="22"/>
          <w:lang w:val="en-GB"/>
        </w:rPr>
        <w:t>must be submitted</w:t>
      </w:r>
      <w:proofErr w:type="gramEnd"/>
      <w:r w:rsidRPr="00C36FF7">
        <w:rPr>
          <w:rStyle w:val="Gl"/>
          <w:sz w:val="22"/>
          <w:szCs w:val="22"/>
          <w:lang w:val="en-GB"/>
        </w:rPr>
        <w:t xml:space="preserve"> using the standard tender form.</w:t>
      </w:r>
      <w:r w:rsidRPr="00C36FF7">
        <w:rPr>
          <w:sz w:val="22"/>
          <w:szCs w:val="22"/>
          <w:lang w:val="en-GB"/>
        </w:rPr>
        <w:t xml:space="preserve"> </w:t>
      </w:r>
    </w:p>
    <w:p w:rsidR="00ED1D2A" w:rsidRPr="00C36FF7" w:rsidRDefault="00ED1D2A" w:rsidP="00ED1D2A">
      <w:pPr>
        <w:pStyle w:val="Blockquote"/>
        <w:jc w:val="both"/>
        <w:rPr>
          <w:sz w:val="22"/>
          <w:szCs w:val="22"/>
          <w:lang w:val="en-GB"/>
        </w:rPr>
      </w:pPr>
      <w:r w:rsidRPr="00C36FF7">
        <w:rPr>
          <w:sz w:val="22"/>
          <w:szCs w:val="22"/>
          <w:lang w:val="en-GB"/>
        </w:rPr>
        <w:t xml:space="preserve">The tender </w:t>
      </w:r>
      <w:proofErr w:type="gramStart"/>
      <w:r w:rsidRPr="00C36FF7">
        <w:rPr>
          <w:sz w:val="22"/>
          <w:szCs w:val="22"/>
          <w:lang w:val="en-GB"/>
        </w:rPr>
        <w:t>must be accompanied</w:t>
      </w:r>
      <w:proofErr w:type="gramEnd"/>
      <w:r w:rsidRPr="00C36FF7">
        <w:rPr>
          <w:sz w:val="22"/>
          <w:szCs w:val="22"/>
          <w:lang w:val="en-GB"/>
        </w:rPr>
        <w:t xml:space="preserve"> by a declaration on honour on exclusion and selection criteria (form G3)</w:t>
      </w:r>
    </w:p>
    <w:p w:rsidR="00ED1D2A" w:rsidRPr="00C36FF7" w:rsidRDefault="00ED1D2A" w:rsidP="00ED1D2A">
      <w:pPr>
        <w:pStyle w:val="Blockquote"/>
        <w:jc w:val="both"/>
        <w:rPr>
          <w:sz w:val="22"/>
          <w:szCs w:val="22"/>
          <w:lang w:val="en-GB"/>
        </w:rPr>
      </w:pPr>
      <w:r w:rsidRPr="00C36FF7">
        <w:rPr>
          <w:sz w:val="22"/>
          <w:szCs w:val="22"/>
          <w:lang w:val="en-GB"/>
        </w:rPr>
        <w:t xml:space="preserve"> Any additional documentation (brochure, letter, etc.) sent with a tender will not be taken into consideration.</w:t>
      </w:r>
    </w:p>
    <w:p w:rsidR="00ED1D2A" w:rsidRPr="00C36FF7" w:rsidRDefault="00ED1D2A" w:rsidP="00ED1D2A">
      <w:pPr>
        <w:ind w:left="709" w:hanging="349"/>
        <w:outlineLvl w:val="0"/>
        <w:rPr>
          <w:rFonts w:ascii="Times New Roman" w:hAnsi="Times New Roman" w:cs="Times New Roman"/>
          <w:lang w:val="en-GB"/>
        </w:rPr>
      </w:pPr>
      <w:r w:rsidRPr="00C36FF7">
        <w:rPr>
          <w:rStyle w:val="Gl"/>
          <w:rFonts w:ascii="Times New Roman" w:hAnsi="Times New Roman" w:cs="Times New Roman"/>
          <w:lang w:val="en-GB"/>
        </w:rPr>
        <w:t xml:space="preserve">20. </w:t>
      </w:r>
      <w:r w:rsidRPr="00C36FF7">
        <w:rPr>
          <w:rStyle w:val="Gl"/>
          <w:rFonts w:ascii="Times New Roman" w:hAnsi="Times New Roman" w:cs="Times New Roman"/>
          <w:lang w:val="en-GB"/>
        </w:rPr>
        <w:tab/>
        <w:t xml:space="preserve">How tenders </w:t>
      </w:r>
      <w:proofErr w:type="gramStart"/>
      <w:r w:rsidRPr="00C36FF7">
        <w:rPr>
          <w:rStyle w:val="Gl"/>
          <w:rFonts w:ascii="Times New Roman" w:hAnsi="Times New Roman" w:cs="Times New Roman"/>
          <w:lang w:val="en-GB"/>
        </w:rPr>
        <w:t>may be submitted</w:t>
      </w:r>
      <w:proofErr w:type="gramEnd"/>
    </w:p>
    <w:p w:rsidR="00ED1D2A" w:rsidRPr="00C36FF7" w:rsidRDefault="00ED1D2A" w:rsidP="00ED1D2A">
      <w:pPr>
        <w:pStyle w:val="Blockquote"/>
        <w:jc w:val="both"/>
        <w:rPr>
          <w:sz w:val="22"/>
          <w:szCs w:val="22"/>
          <w:lang w:val="en-GB"/>
        </w:rPr>
      </w:pPr>
      <w:r w:rsidRPr="00C36FF7">
        <w:rPr>
          <w:sz w:val="22"/>
          <w:szCs w:val="22"/>
          <w:lang w:val="en-GB"/>
        </w:rPr>
        <w:t xml:space="preserve">Tenders </w:t>
      </w:r>
      <w:proofErr w:type="gramStart"/>
      <w:r w:rsidRPr="00C36FF7">
        <w:rPr>
          <w:sz w:val="22"/>
          <w:szCs w:val="22"/>
          <w:lang w:val="en-GB"/>
        </w:rPr>
        <w:t>must be submitted</w:t>
      </w:r>
      <w:proofErr w:type="gramEnd"/>
      <w:r w:rsidRPr="00C36FF7">
        <w:rPr>
          <w:sz w:val="22"/>
          <w:szCs w:val="22"/>
          <w:lang w:val="en-GB"/>
        </w:rPr>
        <w:t xml:space="preserve"> in English exclusively to the contracting authority, using the means specified in point 9 of the instructions to tenderers.  </w:t>
      </w:r>
    </w:p>
    <w:p w:rsidR="00ED1D2A" w:rsidRPr="00C36FF7" w:rsidRDefault="00ED1D2A" w:rsidP="00ED1D2A">
      <w:pPr>
        <w:pStyle w:val="Blockquote"/>
        <w:jc w:val="both"/>
        <w:rPr>
          <w:rStyle w:val="Gl"/>
          <w:b w:val="0"/>
          <w:sz w:val="22"/>
          <w:szCs w:val="22"/>
          <w:lang w:val="en-GB"/>
        </w:rPr>
      </w:pPr>
      <w:r w:rsidRPr="00C36FF7">
        <w:rPr>
          <w:rStyle w:val="Gl"/>
          <w:sz w:val="22"/>
          <w:szCs w:val="22"/>
          <w:lang w:val="en-GB"/>
        </w:rPr>
        <w:t xml:space="preserve">Tenders submitted by any other means </w:t>
      </w:r>
      <w:proofErr w:type="gramStart"/>
      <w:r w:rsidRPr="00C36FF7">
        <w:rPr>
          <w:rStyle w:val="Gl"/>
          <w:sz w:val="22"/>
          <w:szCs w:val="22"/>
          <w:lang w:val="en-GB"/>
        </w:rPr>
        <w:t>will not be considered</w:t>
      </w:r>
      <w:proofErr w:type="gramEnd"/>
      <w:r w:rsidRPr="00C36FF7">
        <w:rPr>
          <w:rStyle w:val="Gl"/>
          <w:sz w:val="22"/>
          <w:szCs w:val="22"/>
          <w:lang w:val="en-GB"/>
        </w:rPr>
        <w:t>.</w:t>
      </w:r>
    </w:p>
    <w:p w:rsidR="00ED1D2A" w:rsidRPr="00C36FF7" w:rsidRDefault="00ED1D2A" w:rsidP="00ED1D2A">
      <w:pPr>
        <w:pStyle w:val="Blockquote"/>
        <w:jc w:val="both"/>
        <w:rPr>
          <w:rStyle w:val="Gl"/>
          <w:b w:val="0"/>
          <w:sz w:val="22"/>
          <w:szCs w:val="22"/>
          <w:lang w:val="en-GB"/>
        </w:rPr>
      </w:pPr>
      <w:r w:rsidRPr="00C36FF7">
        <w:rPr>
          <w:sz w:val="22"/>
          <w:szCs w:val="22"/>
          <w:lang w:val="en-GB"/>
        </w:rPr>
        <w:t>By submitting a tender, tenderer accept to receive notification of the outcome of the procedure by electronic means.</w:t>
      </w:r>
    </w:p>
    <w:p w:rsidR="00ED1D2A" w:rsidRPr="00C36FF7" w:rsidRDefault="00ED1D2A" w:rsidP="00ED1D2A">
      <w:pPr>
        <w:ind w:left="709" w:hanging="349"/>
        <w:outlineLvl w:val="0"/>
        <w:rPr>
          <w:rFonts w:ascii="Times New Roman" w:hAnsi="Times New Roman" w:cs="Times New Roman"/>
          <w:b/>
          <w:lang w:val="en-GB"/>
        </w:rPr>
      </w:pPr>
      <w:r w:rsidRPr="00C36FF7">
        <w:rPr>
          <w:rStyle w:val="Gl"/>
          <w:rFonts w:ascii="Times New Roman" w:hAnsi="Times New Roman" w:cs="Times New Roman"/>
          <w:lang w:val="en-GB"/>
        </w:rPr>
        <w:t>21.</w:t>
      </w:r>
      <w:r w:rsidRPr="00C36FF7">
        <w:rPr>
          <w:rStyle w:val="Gl"/>
          <w:rFonts w:ascii="Times New Roman" w:hAnsi="Times New Roman" w:cs="Times New Roman"/>
          <w:lang w:val="en-GB"/>
        </w:rPr>
        <w:tab/>
        <w:t>Alteration or withdrawal of tenders</w:t>
      </w:r>
    </w:p>
    <w:p w:rsidR="00ED1D2A" w:rsidRPr="00C36FF7" w:rsidRDefault="00ED1D2A" w:rsidP="00ED1D2A">
      <w:pPr>
        <w:pStyle w:val="Blockquote"/>
        <w:jc w:val="both"/>
        <w:rPr>
          <w:sz w:val="22"/>
          <w:szCs w:val="22"/>
          <w:lang w:val="en-GB"/>
        </w:rPr>
      </w:pPr>
      <w:r w:rsidRPr="00C36FF7">
        <w:rPr>
          <w:sz w:val="22"/>
          <w:szCs w:val="22"/>
          <w:lang w:val="en-GB"/>
        </w:rPr>
        <w:t xml:space="preserve">Tenderers may alter or withdraw their tenders by written notification prior to the deadline for submission of tenders. No tender </w:t>
      </w:r>
      <w:proofErr w:type="gramStart"/>
      <w:r w:rsidRPr="00C36FF7">
        <w:rPr>
          <w:sz w:val="22"/>
          <w:szCs w:val="22"/>
          <w:lang w:val="en-GB"/>
        </w:rPr>
        <w:t>may be altered</w:t>
      </w:r>
      <w:proofErr w:type="gramEnd"/>
      <w:r w:rsidRPr="00C36FF7">
        <w:rPr>
          <w:sz w:val="22"/>
          <w:szCs w:val="22"/>
          <w:lang w:val="en-GB"/>
        </w:rPr>
        <w:t xml:space="preserve"> after this deadline.</w:t>
      </w:r>
    </w:p>
    <w:p w:rsidR="00ED1D2A" w:rsidRPr="00C36FF7" w:rsidRDefault="00ED1D2A" w:rsidP="00ED1D2A">
      <w:pPr>
        <w:pStyle w:val="Blockquote"/>
        <w:jc w:val="both"/>
        <w:rPr>
          <w:sz w:val="22"/>
          <w:szCs w:val="22"/>
          <w:lang w:val="en-GB"/>
        </w:rPr>
      </w:pPr>
      <w:r w:rsidRPr="00C36FF7">
        <w:rPr>
          <w:sz w:val="22"/>
          <w:szCs w:val="22"/>
          <w:lang w:val="en-GB"/>
        </w:rPr>
        <w:t xml:space="preserve">Any such notification of alteration or withdrawal shall be prepared and submitted in accordance with point 13 of the instructions to tenderers. </w:t>
      </w:r>
    </w:p>
    <w:p w:rsidR="00ED1D2A" w:rsidRPr="00C36FF7" w:rsidRDefault="00ED1D2A" w:rsidP="00ED1D2A">
      <w:pPr>
        <w:keepNext/>
        <w:ind w:left="709" w:hanging="352"/>
        <w:outlineLvl w:val="0"/>
        <w:rPr>
          <w:rFonts w:ascii="Times New Roman" w:hAnsi="Times New Roman" w:cs="Times New Roman"/>
          <w:lang w:val="en-GB"/>
        </w:rPr>
      </w:pPr>
      <w:r w:rsidRPr="00C36FF7">
        <w:rPr>
          <w:rStyle w:val="Gl"/>
          <w:rFonts w:ascii="Times New Roman" w:hAnsi="Times New Roman" w:cs="Times New Roman"/>
          <w:lang w:val="en-GB"/>
        </w:rPr>
        <w:t xml:space="preserve">22. </w:t>
      </w:r>
      <w:r w:rsidRPr="00C36FF7">
        <w:rPr>
          <w:rStyle w:val="Gl"/>
          <w:rFonts w:ascii="Times New Roman" w:hAnsi="Times New Roman" w:cs="Times New Roman"/>
          <w:lang w:val="en-GB"/>
        </w:rPr>
        <w:tab/>
        <w:t>Operational language</w:t>
      </w:r>
    </w:p>
    <w:p w:rsidR="00ED1D2A" w:rsidRPr="00C36FF7" w:rsidRDefault="00ED1D2A" w:rsidP="00ED1D2A">
      <w:pPr>
        <w:pStyle w:val="Blockquote"/>
        <w:jc w:val="both"/>
        <w:rPr>
          <w:i/>
          <w:sz w:val="22"/>
          <w:szCs w:val="22"/>
          <w:lang w:val="en-GB"/>
        </w:rPr>
      </w:pPr>
      <w:r w:rsidRPr="00C36FF7">
        <w:rPr>
          <w:rStyle w:val="Vurgu"/>
          <w:i w:val="0"/>
          <w:sz w:val="22"/>
          <w:szCs w:val="22"/>
          <w:lang w:val="en-GB"/>
        </w:rPr>
        <w:t xml:space="preserve">All written communications for this tender procedure and contract must be in English.  </w:t>
      </w:r>
    </w:p>
    <w:p w:rsidR="00ED1D2A" w:rsidRPr="00C36FF7" w:rsidRDefault="00ED1D2A" w:rsidP="00ED1D2A">
      <w:pPr>
        <w:pStyle w:val="Blockquote"/>
        <w:jc w:val="both"/>
        <w:rPr>
          <w:b/>
          <w:sz w:val="22"/>
          <w:szCs w:val="22"/>
          <w:lang w:val="en-GB"/>
        </w:rPr>
      </w:pPr>
      <w:r w:rsidRPr="00C36FF7">
        <w:rPr>
          <w:b/>
          <w:sz w:val="22"/>
          <w:szCs w:val="22"/>
          <w:lang w:val="en-GB"/>
        </w:rPr>
        <w:t>23. Additional information</w:t>
      </w:r>
    </w:p>
    <w:p w:rsidR="00ED1D2A" w:rsidRPr="00C36FF7" w:rsidRDefault="00ED1D2A" w:rsidP="00ED1D2A">
      <w:pPr>
        <w:snapToGrid w:val="0"/>
        <w:spacing w:after="0"/>
        <w:ind w:left="284" w:right="360"/>
        <w:jc w:val="both"/>
        <w:rPr>
          <w:rFonts w:ascii="Times New Roman" w:hAnsi="Times New Roman" w:cs="Times New Roman"/>
          <w:lang w:val="en-GB"/>
        </w:rPr>
      </w:pPr>
      <w:r w:rsidRPr="00C36FF7">
        <w:rPr>
          <w:rFonts w:ascii="Times New Roman" w:hAnsi="Times New Roman" w:cs="Times New Roman"/>
          <w:lang w:val="en-GB"/>
        </w:rPr>
        <w:t xml:space="preserve">Financial data to </w:t>
      </w:r>
      <w:proofErr w:type="gramStart"/>
      <w:r w:rsidRPr="00C36FF7">
        <w:rPr>
          <w:rFonts w:ascii="Times New Roman" w:hAnsi="Times New Roman" w:cs="Times New Roman"/>
          <w:lang w:val="en-GB"/>
        </w:rPr>
        <w:t>be provided</w:t>
      </w:r>
      <w:proofErr w:type="gramEnd"/>
      <w:r w:rsidRPr="00C36FF7">
        <w:rPr>
          <w:rFonts w:ascii="Times New Roman" w:hAnsi="Times New Roman" w:cs="Times New Roman"/>
          <w:lang w:val="en-GB"/>
        </w:rPr>
        <w:t xml:space="preserve"> by the candidate in the standard application form must be expressed in EUR. If applicable, where a candidate refers to amounts originally expressed in a different currency, the conversion to EUR </w:t>
      </w:r>
      <w:proofErr w:type="gramStart"/>
      <w:r w:rsidRPr="00C36FF7">
        <w:rPr>
          <w:rFonts w:ascii="Times New Roman" w:hAnsi="Times New Roman" w:cs="Times New Roman"/>
          <w:lang w:val="en-GB"/>
        </w:rPr>
        <w:t>shall be made</w:t>
      </w:r>
      <w:proofErr w:type="gramEnd"/>
      <w:r w:rsidRPr="00C36FF7">
        <w:rPr>
          <w:rFonts w:ascii="Times New Roman" w:hAnsi="Times New Roman" w:cs="Times New Roman"/>
          <w:lang w:val="en-GB"/>
        </w:rPr>
        <w:t xml:space="preserve"> in accordance with the </w:t>
      </w:r>
      <w:proofErr w:type="spellStart"/>
      <w:r w:rsidRPr="00C36FF7">
        <w:rPr>
          <w:rFonts w:ascii="Times New Roman" w:hAnsi="Times New Roman" w:cs="Times New Roman"/>
          <w:lang w:val="en-GB"/>
        </w:rPr>
        <w:t>InforEuro</w:t>
      </w:r>
      <w:proofErr w:type="spellEnd"/>
      <w:r w:rsidRPr="00C36FF7">
        <w:rPr>
          <w:rFonts w:ascii="Times New Roman" w:hAnsi="Times New Roman" w:cs="Times New Roman"/>
          <w:lang w:val="en-GB"/>
        </w:rPr>
        <w:t xml:space="preserve"> exchange rate of January 2025, which can be found at the following address: </w:t>
      </w:r>
      <w:hyperlink r:id="rId9" w:history="1">
        <w:r w:rsidRPr="00C36FF7">
          <w:rPr>
            <w:rStyle w:val="Kpr"/>
            <w:rFonts w:ascii="Times New Roman" w:hAnsi="Times New Roman" w:cs="Times New Roman"/>
            <w:lang w:val="en-GB"/>
          </w:rPr>
          <w:t>http://ec.europa.eu/budget/graphs/inforeuro.html</w:t>
        </w:r>
      </w:hyperlink>
      <w:r w:rsidRPr="00C36FF7">
        <w:rPr>
          <w:rFonts w:ascii="Times New Roman" w:hAnsi="Times New Roman" w:cs="Times New Roman"/>
          <w:lang w:val="en-GB"/>
        </w:rPr>
        <w:t>.</w:t>
      </w:r>
    </w:p>
    <w:p w:rsidR="00ED1D2A" w:rsidRPr="00C36FF7" w:rsidRDefault="00ED1D2A" w:rsidP="00ED1D2A">
      <w:pPr>
        <w:pStyle w:val="Blockquote"/>
        <w:jc w:val="both"/>
        <w:rPr>
          <w:sz w:val="22"/>
          <w:szCs w:val="22"/>
          <w:lang w:val="en-GB"/>
        </w:rPr>
      </w:pPr>
    </w:p>
    <w:p w:rsidR="00A02968" w:rsidRPr="00C36FF7" w:rsidRDefault="00A02968" w:rsidP="00A02968">
      <w:pPr>
        <w:pStyle w:val="stBilgi"/>
        <w:jc w:val="center"/>
        <w:rPr>
          <w:rFonts w:ascii="Times New Roman" w:hAnsi="Times New Roman" w:cs="Times New Roman"/>
          <w:b/>
          <w:bCs/>
          <w:lang w:val="en-GB"/>
        </w:rPr>
      </w:pPr>
    </w:p>
    <w:sectPr w:rsidR="00A02968" w:rsidRPr="00C36FF7" w:rsidSect="00DA0D8B">
      <w:headerReference w:type="even" r:id="rId10"/>
      <w:headerReference w:type="default" r:id="rId11"/>
      <w:footerReference w:type="even" r:id="rId12"/>
      <w:footerReference w:type="default" r:id="rId13"/>
      <w:headerReference w:type="first" r:id="rId14"/>
      <w:footerReference w:type="first" r:id="rId15"/>
      <w:pgSz w:w="11906" w:h="16838"/>
      <w:pgMar w:top="3087" w:right="1440" w:bottom="2177" w:left="135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9FB" w:rsidRDefault="007F09FB" w:rsidP="00DB22B4">
      <w:pPr>
        <w:spacing w:after="0" w:line="240" w:lineRule="auto"/>
      </w:pPr>
      <w:r>
        <w:separator/>
      </w:r>
    </w:p>
  </w:endnote>
  <w:endnote w:type="continuationSeparator" w:id="0">
    <w:p w:rsidR="007F09FB" w:rsidRDefault="007F09FB" w:rsidP="00D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Optima">
    <w:altName w:val="Bell MT"/>
    <w:charset w:val="00"/>
    <w:family w:val="auto"/>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02" w:rsidRDefault="003344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0E" w:rsidRPr="00AC209E" w:rsidRDefault="004B070E" w:rsidP="004B070E">
    <w:pPr>
      <w:pStyle w:val="AltBilgi"/>
      <w:ind w:right="27"/>
      <w:rPr>
        <w:sz w:val="18"/>
        <w:szCs w:val="18"/>
        <w:lang w:val="en-GB"/>
      </w:rPr>
    </w:pPr>
    <w:r>
      <w:rPr>
        <w:b/>
        <w:sz w:val="18"/>
        <w:lang w:val="en-GB"/>
      </w:rPr>
      <w:t xml:space="preserve">                                     2024</w:t>
    </w:r>
    <w:r w:rsidRPr="00365453">
      <w:rPr>
        <w:sz w:val="18"/>
        <w:szCs w:val="18"/>
        <w:lang w:val="en-GB"/>
      </w:rPr>
      <w:tab/>
    </w:r>
    <w:r>
      <w:rPr>
        <w:sz w:val="18"/>
        <w:szCs w:val="18"/>
        <w:lang w:val="en-GB"/>
      </w:rPr>
      <w:t xml:space="preserve">                                                                                                                                                             </w:t>
    </w:r>
    <w:r w:rsidRPr="00AC209E">
      <w:rPr>
        <w:sz w:val="18"/>
        <w:szCs w:val="18"/>
        <w:lang w:val="en-GB"/>
      </w:rPr>
      <w:t xml:space="preserve">Page </w:t>
    </w:r>
    <w:r w:rsidRPr="00515680">
      <w:rPr>
        <w:sz w:val="18"/>
        <w:szCs w:val="18"/>
      </w:rPr>
      <w:fldChar w:fldCharType="begin"/>
    </w:r>
    <w:r w:rsidRPr="00AC209E">
      <w:rPr>
        <w:sz w:val="18"/>
        <w:szCs w:val="18"/>
        <w:lang w:val="en-GB"/>
      </w:rPr>
      <w:instrText xml:space="preserve"> PAGE </w:instrText>
    </w:r>
    <w:r w:rsidRPr="00515680">
      <w:rPr>
        <w:sz w:val="18"/>
        <w:szCs w:val="18"/>
      </w:rPr>
      <w:fldChar w:fldCharType="separate"/>
    </w:r>
    <w:r w:rsidR="00C55EBA">
      <w:rPr>
        <w:noProof/>
        <w:sz w:val="18"/>
        <w:szCs w:val="18"/>
        <w:lang w:val="en-GB"/>
      </w:rPr>
      <w:t>5</w:t>
    </w:r>
    <w:r w:rsidRPr="00515680">
      <w:rPr>
        <w:sz w:val="18"/>
        <w:szCs w:val="18"/>
      </w:rPr>
      <w:fldChar w:fldCharType="end"/>
    </w:r>
    <w:r w:rsidRPr="00AC209E">
      <w:rPr>
        <w:sz w:val="18"/>
        <w:szCs w:val="18"/>
        <w:lang w:val="en-GB"/>
      </w:rPr>
      <w:t xml:space="preserve"> of </w:t>
    </w:r>
    <w:r w:rsidRPr="00515680">
      <w:rPr>
        <w:sz w:val="18"/>
        <w:szCs w:val="18"/>
      </w:rPr>
      <w:fldChar w:fldCharType="begin"/>
    </w:r>
    <w:r w:rsidRPr="00AC209E">
      <w:rPr>
        <w:sz w:val="18"/>
        <w:szCs w:val="18"/>
        <w:lang w:val="en-GB"/>
      </w:rPr>
      <w:instrText xml:space="preserve"> NUMPAGES </w:instrText>
    </w:r>
    <w:r w:rsidRPr="00515680">
      <w:rPr>
        <w:sz w:val="18"/>
        <w:szCs w:val="18"/>
      </w:rPr>
      <w:fldChar w:fldCharType="separate"/>
    </w:r>
    <w:r w:rsidR="00C55EBA">
      <w:rPr>
        <w:noProof/>
        <w:sz w:val="18"/>
        <w:szCs w:val="18"/>
        <w:lang w:val="en-GB"/>
      </w:rPr>
      <w:t>5</w:t>
    </w:r>
    <w:r w:rsidRPr="00515680">
      <w:rPr>
        <w:sz w:val="18"/>
        <w:szCs w:val="18"/>
      </w:rPr>
      <w:fldChar w:fldCharType="end"/>
    </w:r>
  </w:p>
  <w:p w:rsidR="00334402" w:rsidRPr="00365453" w:rsidRDefault="004B070E" w:rsidP="00334402">
    <w:pPr>
      <w:pStyle w:val="AltBilgi"/>
      <w:ind w:right="27"/>
      <w:rPr>
        <w:sz w:val="18"/>
        <w:szCs w:val="18"/>
        <w:lang w:val="en-GB"/>
      </w:rPr>
    </w:pPr>
    <w:r>
      <w:rPr>
        <w:sz w:val="18"/>
        <w:szCs w:val="18"/>
      </w:rPr>
      <w:t xml:space="preserve">                                    </w:t>
    </w:r>
    <w:r w:rsidR="00334402" w:rsidRPr="004774D6">
      <w:rPr>
        <w:sz w:val="18"/>
        <w:szCs w:val="18"/>
      </w:rPr>
      <w:fldChar w:fldCharType="begin"/>
    </w:r>
    <w:r w:rsidR="00334402" w:rsidRPr="00AC209E">
      <w:rPr>
        <w:sz w:val="18"/>
        <w:szCs w:val="18"/>
        <w:lang w:val="en-GB"/>
      </w:rPr>
      <w:instrText xml:space="preserve"> FILENAME </w:instrText>
    </w:r>
    <w:r w:rsidR="00334402" w:rsidRPr="004774D6">
      <w:rPr>
        <w:sz w:val="18"/>
        <w:szCs w:val="18"/>
      </w:rPr>
      <w:fldChar w:fldCharType="separate"/>
    </w:r>
    <w:r w:rsidR="00ED1D2A">
      <w:rPr>
        <w:noProof/>
        <w:sz w:val="18"/>
        <w:szCs w:val="18"/>
        <w:lang w:val="en-GB"/>
      </w:rPr>
      <w:t>SP1b_contract notice</w:t>
    </w:r>
    <w:r w:rsidR="00334402" w:rsidRPr="004774D6">
      <w:rPr>
        <w:sz w:val="18"/>
        <w:szCs w:val="18"/>
      </w:rPr>
      <w:fldChar w:fldCharType="end"/>
    </w:r>
  </w:p>
  <w:p w:rsidR="004B070E" w:rsidRPr="00365453" w:rsidRDefault="004B070E" w:rsidP="004B070E">
    <w:pPr>
      <w:pStyle w:val="AltBilgi"/>
      <w:ind w:right="27"/>
      <w:rPr>
        <w:sz w:val="18"/>
        <w:szCs w:val="18"/>
        <w:lang w:val="en-GB"/>
      </w:rPr>
    </w:pPr>
  </w:p>
  <w:p w:rsidR="00DA0D8B" w:rsidRDefault="004B070E">
    <w:pPr>
      <w:pStyle w:val="AltBilgi"/>
    </w:pPr>
    <w:r>
      <w:t xml:space="preserve">   </w:t>
    </w:r>
  </w:p>
  <w:p w:rsidR="00DA0D8B" w:rsidRDefault="00DA0D8B">
    <w:pPr>
      <w:pStyle w:val="AltBilgi"/>
    </w:pPr>
  </w:p>
  <w:p w:rsidR="00DA0D8B" w:rsidRDefault="00DA0D8B">
    <w:pPr>
      <w:pStyle w:val="AltBilgi"/>
    </w:pPr>
  </w:p>
  <w:p w:rsidR="00DA0D8B" w:rsidRDefault="00DA0D8B" w:rsidP="00DA0D8B">
    <w:pPr>
      <w:pStyle w:val="AltBilgi"/>
      <w:ind w:left="-56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02" w:rsidRDefault="003344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9FB" w:rsidRDefault="007F09FB" w:rsidP="00DB22B4">
      <w:pPr>
        <w:spacing w:after="0" w:line="240" w:lineRule="auto"/>
      </w:pPr>
      <w:r>
        <w:separator/>
      </w:r>
    </w:p>
  </w:footnote>
  <w:footnote w:type="continuationSeparator" w:id="0">
    <w:p w:rsidR="007F09FB" w:rsidRDefault="007F09FB" w:rsidP="00DB22B4">
      <w:pPr>
        <w:spacing w:after="0" w:line="240" w:lineRule="auto"/>
      </w:pPr>
      <w:r>
        <w:continuationSeparator/>
      </w:r>
    </w:p>
  </w:footnote>
  <w:footnote w:id="1">
    <w:p w:rsidR="00ED1D2A" w:rsidRPr="004E0EED" w:rsidRDefault="00ED1D2A" w:rsidP="00ED1D2A">
      <w:pPr>
        <w:pStyle w:val="DipnotMetni"/>
        <w:spacing w:before="0" w:after="0"/>
        <w:ind w:left="142" w:hanging="142"/>
      </w:pPr>
      <w:r>
        <w:rPr>
          <w:rStyle w:val="DipnotBavurusu"/>
        </w:rPr>
        <w:footnoteRef/>
      </w:r>
      <w:r>
        <w:t xml:space="preserve"> </w:t>
      </w:r>
      <w:r w:rsidRPr="008E3A7B">
        <w:t xml:space="preserve">For </w:t>
      </w:r>
      <w:r>
        <w:t>partners</w:t>
      </w:r>
      <w:r w:rsidRPr="008E3A7B">
        <w:t xml:space="preserve"> located in Partner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02" w:rsidRDefault="003344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8A" w:rsidRDefault="00781A99">
    <w:pPr>
      <w:pStyle w:val="stBilgi"/>
    </w:pPr>
    <w:r>
      <w:rPr>
        <w:noProof/>
        <w:lang w:eastAsia="tr-TR"/>
      </w:rPr>
      <w:drawing>
        <wp:anchor distT="0" distB="0" distL="114300" distR="114300" simplePos="0" relativeHeight="251658240" behindDoc="1" locked="0" layoutInCell="1" allowOverlap="1">
          <wp:simplePos x="0" y="0"/>
          <wp:positionH relativeFrom="column">
            <wp:posOffset>-857251</wp:posOffset>
          </wp:positionH>
          <wp:positionV relativeFrom="paragraph">
            <wp:posOffset>-449580</wp:posOffset>
          </wp:positionV>
          <wp:extent cx="7602583" cy="10657982"/>
          <wp:effectExtent l="0" t="0" r="5080" b="0"/>
          <wp:wrapNone/>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99487" name="Picture 1284999487"/>
                  <pic:cNvPicPr/>
                </pic:nvPicPr>
                <pic:blipFill>
                  <a:blip r:embed="rId1">
                    <a:extLst>
                      <a:ext uri="{28A0092B-C50C-407E-A947-70E740481C1C}">
                        <a14:useLocalDpi xmlns:a14="http://schemas.microsoft.com/office/drawing/2010/main" val="0"/>
                      </a:ext>
                    </a:extLst>
                  </a:blip>
                  <a:stretch>
                    <a:fillRect/>
                  </a:stretch>
                </pic:blipFill>
                <pic:spPr>
                  <a:xfrm>
                    <a:off x="0" y="0"/>
                    <a:ext cx="7628519" cy="106943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02" w:rsidRDefault="003344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E72"/>
    <w:multiLevelType w:val="hybridMultilevel"/>
    <w:tmpl w:val="20CED0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260532"/>
    <w:multiLevelType w:val="hybridMultilevel"/>
    <w:tmpl w:val="0E6A4F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BF20F2"/>
    <w:multiLevelType w:val="hybridMultilevel"/>
    <w:tmpl w:val="12C69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69A1049"/>
    <w:multiLevelType w:val="hybridMultilevel"/>
    <w:tmpl w:val="CC567C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E8B5508"/>
    <w:multiLevelType w:val="hybridMultilevel"/>
    <w:tmpl w:val="B628B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08F27FF"/>
    <w:multiLevelType w:val="hybridMultilevel"/>
    <w:tmpl w:val="3C001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10" w15:restartNumberingAfterBreak="0">
    <w:nsid w:val="7E84592C"/>
    <w:multiLevelType w:val="hybridMultilevel"/>
    <w:tmpl w:val="4006A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0"/>
  </w:num>
  <w:num w:numId="6">
    <w:abstractNumId w:val="10"/>
  </w:num>
  <w:num w:numId="7">
    <w:abstractNumId w:val="2"/>
  </w:num>
  <w:num w:numId="8">
    <w:abstractNumId w:val="6"/>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9C"/>
    <w:rsid w:val="00023F62"/>
    <w:rsid w:val="0002768E"/>
    <w:rsid w:val="00030CE9"/>
    <w:rsid w:val="0003301C"/>
    <w:rsid w:val="000879A8"/>
    <w:rsid w:val="00091486"/>
    <w:rsid w:val="00174324"/>
    <w:rsid w:val="00277558"/>
    <w:rsid w:val="00334402"/>
    <w:rsid w:val="00364E38"/>
    <w:rsid w:val="003836DE"/>
    <w:rsid w:val="003A75E6"/>
    <w:rsid w:val="00402A86"/>
    <w:rsid w:val="004260B1"/>
    <w:rsid w:val="004302D7"/>
    <w:rsid w:val="004A7CEF"/>
    <w:rsid w:val="004B070E"/>
    <w:rsid w:val="004F3632"/>
    <w:rsid w:val="0051329B"/>
    <w:rsid w:val="0068738A"/>
    <w:rsid w:val="00697626"/>
    <w:rsid w:val="006A0652"/>
    <w:rsid w:val="0075799C"/>
    <w:rsid w:val="00781A99"/>
    <w:rsid w:val="007F09FB"/>
    <w:rsid w:val="00863006"/>
    <w:rsid w:val="008A6C07"/>
    <w:rsid w:val="008F69E4"/>
    <w:rsid w:val="009C1322"/>
    <w:rsid w:val="00A02968"/>
    <w:rsid w:val="00A62C16"/>
    <w:rsid w:val="00A72046"/>
    <w:rsid w:val="00AF255B"/>
    <w:rsid w:val="00AF47F3"/>
    <w:rsid w:val="00B41ECE"/>
    <w:rsid w:val="00B85619"/>
    <w:rsid w:val="00C36FF7"/>
    <w:rsid w:val="00C55EBA"/>
    <w:rsid w:val="00C765D7"/>
    <w:rsid w:val="00D048DF"/>
    <w:rsid w:val="00D11EA2"/>
    <w:rsid w:val="00D613D9"/>
    <w:rsid w:val="00D96DF1"/>
    <w:rsid w:val="00DA0D8B"/>
    <w:rsid w:val="00DB22B4"/>
    <w:rsid w:val="00DC308F"/>
    <w:rsid w:val="00ED1D2A"/>
    <w:rsid w:val="00F64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127596-E06D-4BC6-98E2-E71F9C21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CE"/>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B22B4"/>
    <w:pPr>
      <w:tabs>
        <w:tab w:val="center" w:pos="4536"/>
        <w:tab w:val="right" w:pos="9072"/>
      </w:tabs>
      <w:spacing w:after="0" w:line="240" w:lineRule="auto"/>
    </w:pPr>
  </w:style>
  <w:style w:type="character" w:customStyle="1" w:styleId="stBilgiChar">
    <w:name w:val="Üst Bilgi Char"/>
    <w:basedOn w:val="VarsaylanParagrafYazTipi"/>
    <w:link w:val="stBilgi"/>
    <w:rsid w:val="00DB22B4"/>
  </w:style>
  <w:style w:type="paragraph" w:styleId="AltBilgi">
    <w:name w:val="footer"/>
    <w:basedOn w:val="Normal"/>
    <w:link w:val="AltBilgiChar"/>
    <w:uiPriority w:val="99"/>
    <w:unhideWhenUsed/>
    <w:rsid w:val="00DB22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22B4"/>
  </w:style>
  <w:style w:type="character" w:styleId="Kpr">
    <w:name w:val="Hyperlink"/>
    <w:basedOn w:val="VarsaylanParagrafYazTipi"/>
    <w:uiPriority w:val="99"/>
    <w:unhideWhenUsed/>
    <w:rsid w:val="00DB22B4"/>
    <w:rPr>
      <w:color w:val="0563C1" w:themeColor="hyperlink"/>
      <w:u w:val="single"/>
    </w:rPr>
  </w:style>
  <w:style w:type="paragraph" w:styleId="NormalWeb">
    <w:name w:val="Normal (Web)"/>
    <w:basedOn w:val="Normal"/>
    <w:uiPriority w:val="99"/>
    <w:semiHidden/>
    <w:unhideWhenUsed/>
    <w:rsid w:val="00C765D7"/>
    <w:pPr>
      <w:spacing w:before="100" w:beforeAutospacing="1" w:after="100" w:afterAutospacing="1" w:line="240" w:lineRule="auto"/>
    </w:pPr>
    <w:rPr>
      <w:rFonts w:ascii="Times New Roman" w:hAnsi="Times New Roman" w:cs="Times New Roman"/>
      <w:sz w:val="24"/>
      <w:szCs w:val="24"/>
      <w:lang w:eastAsia="tr-TR"/>
    </w:rPr>
  </w:style>
  <w:style w:type="paragraph" w:styleId="ListeParagraf">
    <w:name w:val="List Paragraph"/>
    <w:basedOn w:val="Normal"/>
    <w:uiPriority w:val="34"/>
    <w:qFormat/>
    <w:rsid w:val="00C765D7"/>
    <w:pPr>
      <w:ind w:left="720"/>
      <w:contextualSpacing/>
    </w:pPr>
  </w:style>
  <w:style w:type="paragraph" w:customStyle="1" w:styleId="titlefront">
    <w:name w:val="title_front"/>
    <w:basedOn w:val="Normal"/>
    <w:rsid w:val="00A02968"/>
    <w:pPr>
      <w:spacing w:before="240" w:after="0" w:line="240" w:lineRule="auto"/>
      <w:ind w:left="1701"/>
      <w:jc w:val="right"/>
    </w:pPr>
    <w:rPr>
      <w:rFonts w:ascii="Optima" w:eastAsia="Times New Roman" w:hAnsi="Optima" w:cs="Times New Roman"/>
      <w:b/>
      <w:snapToGrid w:val="0"/>
      <w:sz w:val="28"/>
      <w:szCs w:val="20"/>
      <w:lang w:val="en-GB"/>
    </w:rPr>
  </w:style>
  <w:style w:type="paragraph" w:styleId="GvdeMetni">
    <w:name w:val="Body Text"/>
    <w:basedOn w:val="Normal"/>
    <w:link w:val="GvdeMetniChar"/>
    <w:rsid w:val="00A02968"/>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A02968"/>
    <w:rPr>
      <w:rFonts w:ascii="Times New Roman" w:eastAsia="Times New Roman" w:hAnsi="Times New Roman" w:cs="Times New Roman"/>
      <w:sz w:val="24"/>
      <w:szCs w:val="20"/>
      <w:lang w:val="sv-SE" w:eastAsia="en-GB"/>
    </w:rPr>
  </w:style>
  <w:style w:type="paragraph" w:styleId="BalonMetni">
    <w:name w:val="Balloon Text"/>
    <w:basedOn w:val="Normal"/>
    <w:link w:val="BalonMetniChar"/>
    <w:uiPriority w:val="99"/>
    <w:semiHidden/>
    <w:unhideWhenUsed/>
    <w:rsid w:val="003344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4402"/>
    <w:rPr>
      <w:rFonts w:ascii="Segoe UI" w:hAnsi="Segoe UI" w:cs="Segoe UI"/>
      <w:sz w:val="18"/>
      <w:szCs w:val="18"/>
    </w:rPr>
  </w:style>
  <w:style w:type="paragraph" w:customStyle="1" w:styleId="Blockquote">
    <w:name w:val="Blockquote"/>
    <w:basedOn w:val="Normal"/>
    <w:rsid w:val="00ED1D2A"/>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character" w:styleId="Vurgu">
    <w:name w:val="Emphasis"/>
    <w:uiPriority w:val="20"/>
    <w:qFormat/>
    <w:rsid w:val="00ED1D2A"/>
    <w:rPr>
      <w:i/>
    </w:rPr>
  </w:style>
  <w:style w:type="character" w:styleId="Gl">
    <w:name w:val="Strong"/>
    <w:qFormat/>
    <w:rsid w:val="00ED1D2A"/>
    <w:rPr>
      <w:b/>
    </w:rPr>
  </w:style>
  <w:style w:type="paragraph" w:styleId="DipnotMetni">
    <w:name w:val="footnote text"/>
    <w:aliases w:val="Schriftart: 9 pt,Schriftart: 10 pt,Schriftart: 8 pt,WB-Fußnotentext,FoodNote,ft,Footnote,Footnote Text Char Char,Footnote Text Char1 Char Char,Footnote Text Char Char Char Char,fn,f,Voetnoottekst Char,Footnote Text Char1 Cha"/>
    <w:basedOn w:val="Normal"/>
    <w:link w:val="DipnotMetniChar"/>
    <w:uiPriority w:val="99"/>
    <w:qFormat/>
    <w:rsid w:val="00ED1D2A"/>
    <w:pPr>
      <w:widowControl w:val="0"/>
      <w:spacing w:before="100" w:after="100" w:line="240" w:lineRule="auto"/>
    </w:pPr>
    <w:rPr>
      <w:rFonts w:ascii="Times New Roman" w:eastAsia="Times New Roman" w:hAnsi="Times New Roman" w:cs="Times New Roman"/>
      <w:snapToGrid w:val="0"/>
      <w:sz w:val="20"/>
      <w:szCs w:val="20"/>
      <w:lang w:val="en-US"/>
    </w:rPr>
  </w:style>
  <w:style w:type="character" w:customStyle="1" w:styleId="DipnotMetniChar">
    <w:name w:val="Dipnot Metni Char"/>
    <w:aliases w:val="Schriftart: 9 pt Char,Schriftart: 10 pt Char,Schriftart: 8 pt Char,WB-Fußnotentext Char,FoodNote Char,ft Char,Footnote Char,Footnote Text Char Char Char,Footnote Text Char1 Char Char Char,Footnote Text Char Char Char Char Char,fn Char"/>
    <w:basedOn w:val="VarsaylanParagrafYazTipi"/>
    <w:link w:val="DipnotMetni"/>
    <w:uiPriority w:val="99"/>
    <w:rsid w:val="00ED1D2A"/>
    <w:rPr>
      <w:rFonts w:ascii="Times New Roman" w:eastAsia="Times New Roman" w:hAnsi="Times New Roman" w:cs="Times New Roman"/>
      <w:snapToGrid w:val="0"/>
      <w:sz w:val="20"/>
      <w:szCs w:val="20"/>
      <w:lang w:val="en-US"/>
    </w:rPr>
  </w:style>
  <w:style w:type="character" w:styleId="DipnotBavurusu">
    <w:name w:val="footnote reference"/>
    <w:aliases w:val="Footnote symbol,Times 10 Point,Exposant 3 Point, Exposant 3 Point,Footnote number,Footnote Reference Number,Footnote reference number,Footnote Reference Superscript,EN Footnote Reference,note TESI,Voetnootverwijzing,fr"/>
    <w:link w:val="BVIfnrZnak"/>
    <w:uiPriority w:val="99"/>
    <w:qFormat/>
    <w:rsid w:val="00ED1D2A"/>
    <w:rPr>
      <w:vertAlign w:val="superscript"/>
    </w:rPr>
  </w:style>
  <w:style w:type="paragraph" w:customStyle="1" w:styleId="PRAGHeading2">
    <w:name w:val="PRAG Heading 2"/>
    <w:basedOn w:val="Normal"/>
    <w:rsid w:val="00ED1D2A"/>
    <w:pPr>
      <w:widowControl w:val="0"/>
      <w:numPr>
        <w:numId w:val="10"/>
      </w:numPr>
      <w:spacing w:before="100" w:after="100" w:line="240" w:lineRule="auto"/>
    </w:pPr>
    <w:rPr>
      <w:rFonts w:ascii="Times New Roman" w:eastAsia="Times New Roman" w:hAnsi="Times New Roman" w:cs="Times New Roman"/>
      <w:snapToGrid w:val="0"/>
      <w:sz w:val="24"/>
      <w:szCs w:val="20"/>
      <w:lang w:val="en-US"/>
    </w:rPr>
  </w:style>
  <w:style w:type="character" w:customStyle="1" w:styleId="normaltextrun">
    <w:name w:val="normaltextrun"/>
    <w:rsid w:val="00ED1D2A"/>
  </w:style>
  <w:style w:type="character" w:customStyle="1" w:styleId="eop">
    <w:name w:val="eop"/>
    <w:rsid w:val="00ED1D2A"/>
  </w:style>
  <w:style w:type="paragraph" w:customStyle="1" w:styleId="paragraph">
    <w:name w:val="paragraph"/>
    <w:basedOn w:val="Normal"/>
    <w:rsid w:val="00ED1D2A"/>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DipnotBavurusu"/>
    <w:uiPriority w:val="99"/>
    <w:rsid w:val="00ED1D2A"/>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budget/graphs/inforeuro.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B487-3610-4A6A-A9AB-8AC16B05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1461</Words>
  <Characters>8331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SAHIN</dc:creator>
  <cp:keywords/>
  <dc:description/>
  <cp:lastModifiedBy>Ipek Altay</cp:lastModifiedBy>
  <cp:revision>23</cp:revision>
  <cp:lastPrinted>2024-12-02T10:38:00Z</cp:lastPrinted>
  <dcterms:created xsi:type="dcterms:W3CDTF">2021-05-11T05:48:00Z</dcterms:created>
  <dcterms:modified xsi:type="dcterms:W3CDTF">2024-12-16T08:37:00Z</dcterms:modified>
</cp:coreProperties>
</file>